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32E43">
      <w:pPr>
        <w:widowControl/>
        <w:jc w:val="left"/>
        <w:rPr>
          <w:rFonts w:hint="eastAsia" w:ascii="黑体" w:hAnsi="黑体" w:eastAsia="黑体"/>
          <w:b w:val="0"/>
          <w:bCs/>
          <w:sz w:val="32"/>
          <w:szCs w:val="32"/>
          <w:lang w:val="en-US" w:eastAsia="zh-CN"/>
        </w:rPr>
      </w:pPr>
      <w:r>
        <w:rPr>
          <w:rFonts w:hint="eastAsia" w:ascii="黑体" w:hAnsi="黑体" w:eastAsia="黑体"/>
          <w:b w:val="0"/>
          <w:bCs/>
          <w:sz w:val="32"/>
          <w:szCs w:val="32"/>
        </w:rPr>
        <w:t>附件</w:t>
      </w:r>
      <w:r>
        <w:rPr>
          <w:rFonts w:hint="eastAsia" w:ascii="黑体" w:hAnsi="黑体" w:eastAsia="黑体"/>
          <w:b w:val="0"/>
          <w:bCs/>
          <w:sz w:val="32"/>
          <w:szCs w:val="32"/>
          <w:lang w:val="en-US" w:eastAsia="zh-CN"/>
        </w:rPr>
        <w:t>4</w:t>
      </w:r>
      <w:bookmarkStart w:id="22" w:name="_GoBack"/>
      <w:bookmarkEnd w:id="22"/>
    </w:p>
    <w:p w14:paraId="4FD53644">
      <w:pPr>
        <w:jc w:val="left"/>
        <w:rPr>
          <w:rFonts w:hint="default" w:ascii="Times New Roman" w:hAnsi="Times New Roman" w:eastAsia="黑体" w:cs="Times New Roman"/>
          <w:sz w:val="32"/>
          <w:szCs w:val="32"/>
        </w:rPr>
      </w:pPr>
    </w:p>
    <w:p w14:paraId="207F647A">
      <w:pPr>
        <w:widowControl/>
        <w:jc w:val="center"/>
        <w:rPr>
          <w:rFonts w:hint="eastAsia" w:ascii="方正小标宋简体" w:hAnsi="方正小标宋简体" w:eastAsia="方正小标宋简体" w:cs="方正小标宋简体"/>
          <w:b w:val="0"/>
          <w:bCs w:val="0"/>
          <w:color w:val="000000"/>
          <w:kern w:val="0"/>
          <w:sz w:val="44"/>
          <w:szCs w:val="44"/>
          <w:lang w:val="en-US" w:eastAsia="zh-CN" w:bidi="ar"/>
        </w:rPr>
      </w:pPr>
    </w:p>
    <w:p w14:paraId="2D385398">
      <w:pPr>
        <w:widowControl/>
        <w:jc w:val="center"/>
        <w:rPr>
          <w:rFonts w:hint="eastAsia" w:ascii="方正小标宋简体" w:hAnsi="方正小标宋简体" w:eastAsia="方正小标宋简体" w:cs="方正小标宋简体"/>
          <w:b w:val="0"/>
          <w:bCs w:val="0"/>
          <w:color w:val="000000"/>
          <w:kern w:val="0"/>
          <w:sz w:val="44"/>
          <w:szCs w:val="44"/>
          <w:lang w:val="en-US" w:eastAsia="zh-CN" w:bidi="ar"/>
        </w:rPr>
      </w:pPr>
    </w:p>
    <w:p w14:paraId="238C93A2">
      <w:pPr>
        <w:widowControl/>
        <w:jc w:val="center"/>
        <w:rPr>
          <w:rFonts w:hint="eastAsia" w:ascii="方正小标宋简体" w:hAnsi="方正小标宋简体" w:eastAsia="方正小标宋简体" w:cs="方正小标宋简体"/>
          <w:b w:val="0"/>
          <w:bCs w:val="0"/>
          <w:color w:val="000000"/>
          <w:kern w:val="0"/>
          <w:sz w:val="44"/>
          <w:szCs w:val="44"/>
          <w:lang w:val="en-US" w:eastAsia="zh-CN" w:bidi="ar"/>
        </w:rPr>
      </w:pPr>
      <w:r>
        <w:rPr>
          <w:rFonts w:hint="eastAsia" w:ascii="方正小标宋简体" w:hAnsi="方正小标宋简体" w:eastAsia="方正小标宋简体" w:cs="方正小标宋简体"/>
          <w:b w:val="0"/>
          <w:bCs w:val="0"/>
          <w:color w:val="000000"/>
          <w:kern w:val="0"/>
          <w:sz w:val="44"/>
          <w:szCs w:val="44"/>
          <w:lang w:val="en-US" w:eastAsia="zh-CN" w:bidi="ar"/>
        </w:rPr>
        <w:t>中国电力建设企业协会</w:t>
      </w:r>
      <w:r>
        <w:rPr>
          <w:rFonts w:hint="eastAsia" w:ascii="方正小标宋简体" w:hAnsi="方正小标宋简体" w:eastAsia="方正小标宋简体" w:cs="方正小标宋简体"/>
          <w:color w:val="000000"/>
          <w:kern w:val="0"/>
          <w:sz w:val="44"/>
          <w:szCs w:val="44"/>
          <w:lang w:bidi="ar"/>
        </w:rPr>
        <w:t>《电力建设全过程工程咨询导则 第4部分</w:t>
      </w:r>
      <w:r>
        <w:rPr>
          <w:rFonts w:hint="eastAsia" w:ascii="方正小标宋简体" w:hAnsi="方正小标宋简体" w:eastAsia="方正小标宋简体" w:cs="方正小标宋简体"/>
          <w:color w:val="000000"/>
          <w:kern w:val="0"/>
          <w:sz w:val="44"/>
          <w:szCs w:val="44"/>
          <w:lang w:eastAsia="zh-CN" w:bidi="ar"/>
        </w:rPr>
        <w:t>：</w:t>
      </w:r>
      <w:r>
        <w:rPr>
          <w:rFonts w:hint="eastAsia" w:ascii="方正小标宋简体" w:hAnsi="方正小标宋简体" w:eastAsia="方正小标宋简体" w:cs="方正小标宋简体"/>
          <w:color w:val="000000"/>
          <w:kern w:val="0"/>
          <w:sz w:val="44"/>
          <w:szCs w:val="44"/>
          <w:lang w:bidi="ar"/>
        </w:rPr>
        <w:t>光伏发电工程》</w:t>
      </w:r>
      <w:r>
        <w:rPr>
          <w:rFonts w:hint="eastAsia" w:ascii="方正小标宋简体" w:hAnsi="方正小标宋简体" w:eastAsia="方正小标宋简体" w:cs="方正小标宋简体"/>
          <w:b w:val="0"/>
          <w:bCs w:val="0"/>
          <w:color w:val="000000"/>
          <w:kern w:val="0"/>
          <w:sz w:val="44"/>
          <w:szCs w:val="44"/>
          <w:lang w:val="en-US" w:eastAsia="zh-CN" w:bidi="ar"/>
        </w:rPr>
        <w:t>标准编制说明</w:t>
      </w:r>
    </w:p>
    <w:p w14:paraId="04F90B92">
      <w:pPr>
        <w:ind w:firstLine="0" w:firstLineChars="0"/>
        <w:outlineLvl w:val="9"/>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br w:type="page"/>
      </w:r>
    </w:p>
    <w:sdt>
      <w:sdtPr>
        <w:rPr>
          <w:rFonts w:hint="default" w:ascii="宋体" w:hAnsi="宋体" w:eastAsia="宋体" w:cstheme="minorBidi"/>
          <w:kern w:val="2"/>
          <w:sz w:val="21"/>
          <w:szCs w:val="24"/>
          <w:lang w:val="en-US" w:eastAsia="zh-CN" w:bidi="ar-SA"/>
        </w:rPr>
        <w:id w:val="147461872"/>
        <w15:color w:val="DBDBDB"/>
        <w:docPartObj>
          <w:docPartGallery w:val="Table of Contents"/>
          <w:docPartUnique/>
        </w:docPartObj>
      </w:sdtPr>
      <w:sdtEndPr>
        <w:rPr>
          <w:rFonts w:hint="default" w:ascii="仿宋_GB2312" w:hAnsi="仿宋_GB2312" w:eastAsia="仿宋_GB2312" w:cs="仿宋_GB2312"/>
          <w:kern w:val="2"/>
          <w:sz w:val="32"/>
          <w:szCs w:val="32"/>
          <w:lang w:val="en-US" w:eastAsia="zh-CN" w:bidi="ar-SA"/>
        </w:rPr>
      </w:sdtEndPr>
      <w:sdtContent>
        <w:p w14:paraId="3518671B">
          <w:pPr>
            <w:spacing w:before="0" w:beforeLines="0" w:after="0" w:afterLines="0" w:line="240" w:lineRule="auto"/>
            <w:ind w:left="0" w:leftChars="0" w:right="0" w:rightChars="0" w:firstLine="0" w:firstLineChars="0"/>
            <w:jc w:val="center"/>
            <w:rPr>
              <w:rFonts w:hint="eastAsia" w:ascii="仿宋_GB2312" w:hAnsi="宋体" w:eastAsia="仿宋_GB2312" w:cs="Times New Roman"/>
              <w:b/>
              <w:bCs/>
              <w:sz w:val="32"/>
              <w:szCs w:val="32"/>
              <w:lang w:val="en-US"/>
            </w:rPr>
          </w:pPr>
          <w:r>
            <w:rPr>
              <w:rFonts w:hint="eastAsia" w:ascii="仿宋_GB2312" w:hAnsi="宋体" w:eastAsia="仿宋_GB2312" w:cs="Times New Roman"/>
              <w:b/>
              <w:bCs/>
              <w:kern w:val="2"/>
              <w:sz w:val="32"/>
              <w:szCs w:val="32"/>
              <w:lang w:val="en-US" w:eastAsia="zh-CN" w:bidi="ar-SA"/>
            </w:rPr>
            <w:t>目  次</w:t>
          </w:r>
        </w:p>
        <w:p w14:paraId="73F4C824">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TOC \o "1-2" \h \u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_Toc16781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1.</w:t>
          </w:r>
          <w:r>
            <w:rPr>
              <w:rFonts w:hint="default" w:ascii="仿宋_GB2312" w:hAnsi="仿宋_GB2312" w:eastAsia="仿宋_GB2312" w:cs="仿宋_GB2312"/>
              <w:bCs w:val="0"/>
              <w:sz w:val="32"/>
              <w:szCs w:val="32"/>
            </w:rPr>
            <w:t>工作简况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_Toc16781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CAC3E1B">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_Toc15632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1.1</w:t>
          </w:r>
          <w:r>
            <w:rPr>
              <w:rFonts w:hint="default" w:ascii="仿宋_GB2312" w:hAnsi="仿宋_GB2312" w:eastAsia="仿宋_GB2312" w:cs="仿宋_GB2312"/>
              <w:sz w:val="32"/>
              <w:szCs w:val="32"/>
            </w:rPr>
            <w:t>任务来源</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_Toc15632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1131869F">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_Toc31680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1.2起草主体和起草分工</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_Toc31680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BE93F17">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_Toc29175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1.3起草过程</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_Toc29175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2</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33CD35BC">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_Toc26287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2.立项的必要性</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_Toc26287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2</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36A11F2B">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_Toc30684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3.</w:t>
          </w:r>
          <w:r>
            <w:rPr>
              <w:rFonts w:hint="default" w:ascii="仿宋_GB2312" w:hAnsi="仿宋_GB2312" w:eastAsia="仿宋_GB2312" w:cs="仿宋_GB2312"/>
              <w:bCs w:val="0"/>
              <w:sz w:val="32"/>
              <w:szCs w:val="32"/>
            </w:rPr>
            <w:t>编制原则、主要内容及其确定依据</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_Toc30684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4</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F88C264">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_Toc22023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3.1标准编制原则</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_Toc22023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4</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B8367B8">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_Toc10076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3.2标准的主要内容</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_Toc10076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5</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60FF5EAA">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_Toc19726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3.3编制依据</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_Toc19726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6</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E3076AD">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_Toc14170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4.与有关法律、行政法规及相关标准的关系</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_Toc14170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7</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0DC17882">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_Toc11518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5.</w:t>
          </w:r>
          <w:r>
            <w:rPr>
              <w:rFonts w:hint="default" w:ascii="仿宋_GB2312" w:hAnsi="仿宋_GB2312" w:eastAsia="仿宋_GB2312" w:cs="仿宋_GB2312"/>
              <w:bCs w:val="0"/>
              <w:sz w:val="32"/>
              <w:szCs w:val="32"/>
            </w:rPr>
            <w:t>标准的先进性与特色性</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_Toc11518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7</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33950A20">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_Toc6756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5.1先进性体现</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_Toc6756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7</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5C573E0">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_Toc25455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5.2经济合理</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_Toc25455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8</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7AFF7E1">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_Toc8200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5.3特色性体现</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_Toc8200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8</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D56A55D">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_Toc186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6.标</w:t>
          </w:r>
          <w:r>
            <w:rPr>
              <w:rFonts w:hint="default" w:ascii="仿宋_GB2312" w:hAnsi="仿宋_GB2312" w:eastAsia="仿宋_GB2312" w:cs="仿宋_GB2312"/>
              <w:bCs w:val="0"/>
              <w:sz w:val="32"/>
              <w:szCs w:val="32"/>
            </w:rPr>
            <w:t>准调研、研讨及征求意见情况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_Toc186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9</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D056359">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_Toc16926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eastAsia="zh-CN"/>
            </w:rPr>
            <w:t>6</w:t>
          </w:r>
          <w:r>
            <w:rPr>
              <w:rFonts w:hint="default"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rPr>
            <w:t>调研阶段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_Toc16926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9</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48EB0C6">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_Toc7862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6.2</w:t>
          </w:r>
          <w:r>
            <w:rPr>
              <w:rFonts w:hint="default" w:ascii="仿宋_GB2312" w:hAnsi="仿宋_GB2312" w:eastAsia="仿宋_GB2312" w:cs="仿宋_GB2312"/>
              <w:sz w:val="32"/>
              <w:szCs w:val="32"/>
            </w:rPr>
            <w:t>研讨阶段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_Toc7862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10</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0710CBC3">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_Toc1296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6.3</w:t>
          </w:r>
          <w:r>
            <w:rPr>
              <w:rFonts w:hint="default" w:ascii="仿宋_GB2312" w:hAnsi="仿宋_GB2312" w:eastAsia="仿宋_GB2312" w:cs="仿宋_GB2312"/>
              <w:sz w:val="32"/>
              <w:szCs w:val="32"/>
            </w:rPr>
            <w:t>征求意见阶段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_Toc1296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10</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858EF64">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_Toc590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7.</w:t>
          </w:r>
          <w:r>
            <w:rPr>
              <w:rFonts w:hint="default" w:ascii="仿宋_GB2312" w:hAnsi="仿宋_GB2312" w:eastAsia="仿宋_GB2312" w:cs="仿宋_GB2312"/>
              <w:bCs w:val="0"/>
              <w:sz w:val="32"/>
              <w:szCs w:val="32"/>
            </w:rPr>
            <w:t>技术指标设置的科学性与可行性</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_Toc590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10</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1F409147">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_Toc19360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8</w:t>
          </w:r>
          <w:r>
            <w:rPr>
              <w:rFonts w:hint="default" w:ascii="仿宋_GB2312" w:hAnsi="仿宋_GB2312" w:eastAsia="仿宋_GB2312" w:cs="仿宋_GB2312"/>
              <w:bCs w:val="0"/>
              <w:sz w:val="32"/>
              <w:szCs w:val="32"/>
            </w:rPr>
            <w:t>.与国内外同类标准对比及采标情况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_Toc19360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12</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133BCC18">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_Toc30389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9.</w:t>
          </w:r>
          <w:r>
            <w:rPr>
              <w:rFonts w:hint="default" w:ascii="仿宋_GB2312" w:hAnsi="仿宋_GB2312" w:eastAsia="仿宋_GB2312" w:cs="仿宋_GB2312"/>
              <w:bCs w:val="0"/>
              <w:sz w:val="32"/>
              <w:szCs w:val="32"/>
            </w:rPr>
            <w:t>涉及专利的有关说明</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_Toc30389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13</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EF9A6C4">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_Toc16842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10.其他应当说明的事项</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_Toc16842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13</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DBF5124">
          <w:pPr>
            <w:spacing w:line="240" w:lineRule="atLeast"/>
            <w:rPr>
              <w:rFonts w:ascii="仿宋_GB2312" w:hAnsi="仿宋_GB2312" w:eastAsia="仿宋_GB2312" w:cs="仿宋_GB2312"/>
              <w:kern w:val="2"/>
              <w:sz w:val="32"/>
              <w:szCs w:val="32"/>
              <w:lang w:val="en-US" w:eastAsia="zh-CN" w:bidi="ar-SA"/>
            </w:rPr>
          </w:pPr>
          <w:r>
            <w:rPr>
              <w:rFonts w:ascii="仿宋_GB2312" w:hAnsi="仿宋_GB2312" w:eastAsia="仿宋_GB2312" w:cs="仿宋_GB2312"/>
              <w:kern w:val="2"/>
              <w:sz w:val="32"/>
              <w:szCs w:val="32"/>
              <w:lang w:val="en-US" w:eastAsia="zh-CN" w:bidi="ar-SA"/>
            </w:rPr>
            <w:fldChar w:fldCharType="end"/>
          </w:r>
        </w:p>
      </w:sdtContent>
    </w:sdt>
    <w:p w14:paraId="380CA68C"/>
    <w:p w14:paraId="04FFE61B">
      <w:pPr>
        <w:ind w:firstLine="643" w:firstLineChars="200"/>
        <w:outlineLvl w:val="0"/>
        <w:rPr>
          <w:rFonts w:hint="eastAsia" w:ascii="Times New Roman" w:hAnsi="Times New Roman" w:eastAsia="仿宋_GB2312" w:cs="Times New Roman"/>
          <w:b/>
          <w:bCs/>
          <w:sz w:val="32"/>
          <w:szCs w:val="32"/>
          <w:lang w:val="en-US" w:eastAsia="zh-CN"/>
        </w:rPr>
        <w:sectPr>
          <w:pgSz w:w="11906" w:h="16838"/>
          <w:pgMar w:top="1440" w:right="1800" w:bottom="1440" w:left="1800" w:header="851" w:footer="992" w:gutter="0"/>
          <w:cols w:space="425" w:num="1"/>
          <w:docGrid w:type="lines" w:linePitch="312" w:charSpace="0"/>
        </w:sectPr>
      </w:pPr>
      <w:bookmarkStart w:id="0" w:name="_Toc16781"/>
    </w:p>
    <w:p w14:paraId="65F500AC">
      <w:pPr>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工作简况</w:t>
      </w:r>
      <w:bookmarkEnd w:id="0"/>
    </w:p>
    <w:p w14:paraId="6BD5EEA1">
      <w:pPr>
        <w:numPr>
          <w:ilvl w:val="255"/>
          <w:numId w:val="0"/>
        </w:numPr>
        <w:ind w:firstLine="640" w:firstLineChars="200"/>
        <w:outlineLvl w:val="1"/>
        <w:rPr>
          <w:rFonts w:hint="eastAsia" w:ascii="仿宋" w:hAnsi="仿宋" w:eastAsia="仿宋" w:cs="仿宋"/>
          <w:sz w:val="32"/>
          <w:szCs w:val="32"/>
        </w:rPr>
      </w:pPr>
      <w:bookmarkStart w:id="1" w:name="_Toc15632"/>
      <w:r>
        <w:rPr>
          <w:rFonts w:hint="eastAsia" w:ascii="仿宋" w:hAnsi="仿宋" w:eastAsia="仿宋" w:cs="仿宋"/>
          <w:sz w:val="32"/>
          <w:szCs w:val="32"/>
          <w:lang w:val="en-US" w:eastAsia="zh-CN"/>
        </w:rPr>
        <w:t>1.1</w:t>
      </w:r>
      <w:r>
        <w:rPr>
          <w:rFonts w:hint="eastAsia" w:ascii="仿宋" w:hAnsi="仿宋" w:eastAsia="仿宋" w:cs="仿宋"/>
          <w:sz w:val="32"/>
          <w:szCs w:val="32"/>
        </w:rPr>
        <w:t>任务来源</w:t>
      </w:r>
      <w:bookmarkEnd w:id="1"/>
    </w:p>
    <w:p w14:paraId="62E3C6B5">
      <w:pPr>
        <w:numPr>
          <w:ilvl w:val="255"/>
          <w:numId w:val="0"/>
        </w:numPr>
        <w:ind w:firstLine="640" w:firstLineChars="200"/>
        <w:rPr>
          <w:rFonts w:hint="eastAsia" w:ascii="仿宋" w:hAnsi="仿宋" w:eastAsia="仿宋" w:cs="仿宋"/>
          <w:sz w:val="32"/>
          <w:szCs w:val="32"/>
          <w:highlight w:val="yellow"/>
        </w:rPr>
      </w:pPr>
      <w:r>
        <w:rPr>
          <w:rFonts w:hint="eastAsia" w:ascii="仿宋" w:hAnsi="仿宋" w:eastAsia="仿宋" w:cs="仿宋"/>
          <w:sz w:val="32"/>
          <w:szCs w:val="32"/>
          <w:lang w:val="en-US" w:eastAsia="zh-CN"/>
        </w:rPr>
        <w:t>本标准根据</w:t>
      </w:r>
      <w:r>
        <w:rPr>
          <w:rFonts w:hint="eastAsia" w:ascii="仿宋" w:hAnsi="仿宋" w:eastAsia="仿宋" w:cs="仿宋"/>
          <w:sz w:val="32"/>
          <w:szCs w:val="32"/>
        </w:rPr>
        <w:t>中国电力建设企业协会</w:t>
      </w:r>
      <w:r>
        <w:rPr>
          <w:rFonts w:hint="eastAsia" w:ascii="仿宋" w:hAnsi="仿宋" w:eastAsia="仿宋" w:cs="仿宋"/>
          <w:sz w:val="32"/>
          <w:szCs w:val="32"/>
          <w:lang w:val="en-US" w:eastAsia="zh-CN"/>
        </w:rPr>
        <w:t>2025年标准计划</w:t>
      </w:r>
      <w:r>
        <w:rPr>
          <w:rFonts w:hint="eastAsia" w:ascii="仿宋" w:hAnsi="仿宋" w:eastAsia="仿宋" w:cs="仿宋"/>
          <w:sz w:val="32"/>
          <w:szCs w:val="32"/>
        </w:rPr>
        <w:t>《关于征集2025年度第一批中国电力建设企业协会标准的通知》（中电建〔2025〕24号），立项批准由</w:t>
      </w:r>
      <w:r>
        <w:rPr>
          <w:rFonts w:hint="eastAsia" w:ascii="仿宋" w:hAnsi="仿宋" w:eastAsia="仿宋" w:cs="仿宋"/>
          <w:sz w:val="32"/>
          <w:szCs w:val="32"/>
          <w:lang w:val="en-US" w:eastAsia="zh-CN"/>
        </w:rPr>
        <w:t>广东诚誉工程咨询监理</w:t>
      </w:r>
      <w:r>
        <w:rPr>
          <w:rFonts w:hint="eastAsia" w:ascii="仿宋" w:hAnsi="仿宋" w:eastAsia="仿宋" w:cs="仿宋"/>
          <w:sz w:val="32"/>
          <w:szCs w:val="32"/>
        </w:rPr>
        <w:t>有限公司牵头编制《电力建设全过程工程咨询导则 第4部分：光伏发电工程》（团体标准，</w:t>
      </w:r>
      <w:r>
        <w:rPr>
          <w:rFonts w:hint="eastAsia" w:ascii="仿宋" w:hAnsi="仿宋" w:eastAsia="仿宋" w:cs="仿宋"/>
          <w:sz w:val="32"/>
          <w:szCs w:val="32"/>
          <w:lang w:val="en-US" w:eastAsia="zh-CN"/>
        </w:rPr>
        <w:t>计划</w:t>
      </w:r>
      <w:r>
        <w:rPr>
          <w:rFonts w:hint="eastAsia" w:ascii="仿宋" w:hAnsi="仿宋" w:eastAsia="仿宋" w:cs="仿宋"/>
          <w:sz w:val="32"/>
          <w:szCs w:val="32"/>
        </w:rPr>
        <w:t>编号：</w:t>
      </w:r>
      <w:r>
        <w:rPr>
          <w:rFonts w:hint="eastAsia" w:ascii="仿宋" w:hAnsi="仿宋" w:eastAsia="仿宋" w:cs="仿宋"/>
          <w:sz w:val="32"/>
          <w:szCs w:val="32"/>
          <w:lang w:val="en-US" w:eastAsia="zh-CN"/>
        </w:rPr>
        <w:t>T/CEPCA2025009</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highlight w:val="none"/>
          <w:lang w:val="en-US" w:eastAsia="zh-CN"/>
        </w:rPr>
        <w:t>计划2026年11月发布。</w:t>
      </w:r>
    </w:p>
    <w:p w14:paraId="1577B32F">
      <w:pPr>
        <w:numPr>
          <w:ilvl w:val="255"/>
          <w:numId w:val="0"/>
        </w:numPr>
        <w:ind w:firstLine="640" w:firstLineChars="200"/>
        <w:outlineLvl w:val="1"/>
        <w:rPr>
          <w:rFonts w:hint="eastAsia" w:ascii="仿宋" w:hAnsi="仿宋" w:eastAsia="仿宋" w:cs="仿宋"/>
          <w:sz w:val="32"/>
          <w:szCs w:val="32"/>
          <w:lang w:val="en-US" w:eastAsia="zh-CN"/>
        </w:rPr>
      </w:pPr>
      <w:bookmarkStart w:id="2" w:name="_Toc31680"/>
      <w:r>
        <w:rPr>
          <w:rFonts w:hint="eastAsia" w:ascii="仿宋" w:hAnsi="仿宋" w:eastAsia="仿宋" w:cs="仿宋"/>
          <w:sz w:val="32"/>
          <w:szCs w:val="32"/>
          <w:lang w:val="en-US" w:eastAsia="zh-CN"/>
        </w:rPr>
        <w:t>1.2起草主体和起草分工</w:t>
      </w:r>
      <w:bookmarkEnd w:id="2"/>
    </w:p>
    <w:p w14:paraId="436275FA">
      <w:pPr>
        <w:numPr>
          <w:ilvl w:val="255"/>
          <w:numId w:val="0"/>
        </w:num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该文件起草单位为：广东诚誉工程咨询监理有限公司、广东电网有限责任公司</w:t>
      </w:r>
      <w:r>
        <w:rPr>
          <w:rFonts w:hint="eastAsia" w:ascii="仿宋" w:hAnsi="仿宋" w:eastAsia="仿宋" w:cs="仿宋"/>
          <w:sz w:val="32"/>
          <w:szCs w:val="32"/>
          <w:highlight w:val="none"/>
          <w:lang w:val="en-US" w:eastAsia="zh-CN"/>
        </w:rPr>
        <w:t>佛山供电局、福建闽能咨询有限公司</w:t>
      </w:r>
      <w:r>
        <w:rPr>
          <w:rFonts w:hint="eastAsia" w:ascii="仿宋" w:hAnsi="仿宋" w:eastAsia="仿宋" w:cs="仿宋"/>
          <w:sz w:val="32"/>
          <w:szCs w:val="32"/>
          <w:lang w:val="en-US" w:eastAsia="zh-CN"/>
        </w:rPr>
        <w:t>、深圳市威彦达工程监理有限公司、广东律诚工程咨询有限公司、惠州市新科创工程建设监理有限公司、中国电建集团河南省电力勘测设计院有限公司、中建卓越建设管理有限公司、佛山电力设计院有限公司、中建三局第二建设工程有限责任公司、珠海电力工程监理有限责任公司、广西正远监理咨询有限公司、广西桂能工程咨询集团有限公司、广州电力工程监理有限公司、广东中汇电力咨询有限公司、河北兴源工程建设监理有限公司、深圳市深电供电新能源有限公司、</w:t>
      </w:r>
      <w:r>
        <w:rPr>
          <w:rFonts w:hint="eastAsia" w:ascii="仿宋" w:hAnsi="仿宋" w:eastAsia="仿宋" w:cs="仿宋"/>
          <w:sz w:val="32"/>
          <w:szCs w:val="32"/>
          <w:highlight w:val="none"/>
          <w:lang w:val="en-US" w:eastAsia="zh-CN"/>
        </w:rPr>
        <w:t>华能陇东能源有限责任公司</w:t>
      </w:r>
    </w:p>
    <w:p w14:paraId="6C36729E">
      <w:pPr>
        <w:numPr>
          <w:ilvl w:val="255"/>
          <w:numId w:val="0"/>
        </w:numPr>
        <w:ind w:firstLine="640" w:firstLineChars="200"/>
        <w:rPr>
          <w:rFonts w:hint="default" w:ascii="仿宋" w:hAnsi="仿宋" w:eastAsia="仿宋" w:cs="仿宋"/>
          <w:sz w:val="32"/>
          <w:szCs w:val="32"/>
          <w:highlight w:val="yellow"/>
          <w:lang w:val="en-US" w:eastAsia="zh-CN"/>
        </w:rPr>
      </w:pPr>
      <w:r>
        <w:rPr>
          <w:rFonts w:hint="eastAsia" w:ascii="仿宋" w:hAnsi="仿宋" w:eastAsia="仿宋" w:cs="仿宋"/>
          <w:sz w:val="32"/>
          <w:szCs w:val="32"/>
          <w:highlight w:val="none"/>
          <w:lang w:val="en-US" w:eastAsia="zh-CN"/>
        </w:rPr>
        <w:t>主要起草人为：欧镜锋、罗健生、李建明、周富强、章军龙、毛杰、黄华健、产宏、何志明、刘惠兴、王佳佳、刘子威、郑斌、张鹏等</w:t>
      </w:r>
    </w:p>
    <w:p w14:paraId="563EE560">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主要起草分工为：</w:t>
      </w:r>
    </w:p>
    <w:tbl>
      <w:tblPr>
        <w:tblStyle w:val="15"/>
        <w:tblW w:w="87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4"/>
        <w:gridCol w:w="3274"/>
        <w:gridCol w:w="4639"/>
      </w:tblGrid>
      <w:tr w14:paraId="189F3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5678">
            <w:pPr>
              <w:numPr>
                <w:ilvl w:val="255"/>
                <w:numId w:val="0"/>
              </w:num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章节</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B58ED">
            <w:pPr>
              <w:numPr>
                <w:ilvl w:val="255"/>
                <w:numId w:val="0"/>
              </w:numPr>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主要内容</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0F624">
            <w:pPr>
              <w:numPr>
                <w:ilvl w:val="255"/>
                <w:numId w:val="0"/>
              </w:numPr>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编写单位</w:t>
            </w:r>
          </w:p>
        </w:tc>
      </w:tr>
      <w:tr w14:paraId="6F725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7A36">
            <w:pPr>
              <w:jc w:val="left"/>
              <w:rPr>
                <w:rFonts w:hint="eastAsia" w:ascii="仿宋" w:hAnsi="仿宋" w:eastAsia="仿宋" w:cs="仿宋"/>
                <w:kern w:val="2"/>
                <w:sz w:val="28"/>
                <w:szCs w:val="28"/>
                <w:highlight w:val="none"/>
                <w:lang w:val="en-US" w:eastAsia="zh-CN" w:bidi="ar-SA"/>
              </w:rPr>
            </w:pP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B6144">
            <w:pPr>
              <w:keepNext w:val="0"/>
              <w:keepLines w:val="0"/>
              <w:widowControl/>
              <w:suppressLineNumbers w:val="0"/>
              <w:jc w:val="left"/>
              <w:textAlignment w:val="cente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前言</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66AD4">
            <w:pPr>
              <w:keepNext w:val="0"/>
              <w:keepLines w:val="0"/>
              <w:widowControl/>
              <w:suppressLineNumbers w:val="0"/>
              <w:jc w:val="left"/>
              <w:textAlignment w:val="center"/>
              <w:rPr>
                <w:rFonts w:hint="default"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p>
        </w:tc>
      </w:tr>
      <w:tr w14:paraId="7D6A1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04D5D">
            <w:pPr>
              <w:jc w:val="left"/>
              <w:rPr>
                <w:rFonts w:hint="eastAsia" w:ascii="仿宋" w:hAnsi="仿宋" w:eastAsia="仿宋" w:cs="仿宋"/>
                <w:kern w:val="2"/>
                <w:sz w:val="28"/>
                <w:szCs w:val="28"/>
                <w:highlight w:val="none"/>
                <w:lang w:val="en-US" w:eastAsia="zh-CN" w:bidi="ar-SA"/>
              </w:rPr>
            </w:pP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8B874">
            <w:pPr>
              <w:keepNext w:val="0"/>
              <w:keepLines w:val="0"/>
              <w:widowControl/>
              <w:suppressLineNumbers w:val="0"/>
              <w:jc w:val="left"/>
              <w:textAlignment w:val="cente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引言</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E3F9F">
            <w:pPr>
              <w:keepNext w:val="0"/>
              <w:keepLines w:val="0"/>
              <w:widowControl/>
              <w:suppressLineNumbers w:val="0"/>
              <w:jc w:val="left"/>
              <w:textAlignment w:val="center"/>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p>
        </w:tc>
      </w:tr>
      <w:tr w14:paraId="633C1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C3234">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439A">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范围</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8DD7C">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p>
        </w:tc>
      </w:tr>
      <w:tr w14:paraId="11B07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8F7E4">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9DC0">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规范性引用文件</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70085">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p>
        </w:tc>
      </w:tr>
      <w:tr w14:paraId="191B5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87C6">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3</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AC714">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术语和定义</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FA875">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p>
        </w:tc>
      </w:tr>
      <w:tr w14:paraId="5984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3942">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4</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C0E63">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总体原则和要求</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B40C">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p>
        </w:tc>
      </w:tr>
      <w:tr w14:paraId="6C8B8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47D26">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5</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0E25">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工程咨询机构及其设施</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93C18">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p>
        </w:tc>
      </w:tr>
      <w:tr w14:paraId="615D6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6D03">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6</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B91AC">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工程咨询服务策划</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1CCC5">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广东电网有限责任公司</w:t>
            </w:r>
            <w:r>
              <w:rPr>
                <w:rFonts w:hint="eastAsia" w:ascii="仿宋" w:hAnsi="仿宋" w:eastAsia="仿宋" w:cs="仿宋"/>
                <w:sz w:val="28"/>
                <w:szCs w:val="28"/>
                <w:highlight w:val="none"/>
                <w:lang w:val="en-US" w:eastAsia="zh-CN"/>
              </w:rPr>
              <w:t>佛山供电局</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广东中汇电力咨询有限公司</w:t>
            </w:r>
          </w:p>
        </w:tc>
      </w:tr>
      <w:tr w14:paraId="1B59B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E0E2A">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7</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8C4F2">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项目管理</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54E3C">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广西桂能工程咨询集团有限公司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highlight w:val="none"/>
                <w:lang w:val="en-US" w:eastAsia="zh-CN"/>
              </w:rPr>
              <w:t>福建闽能咨询有限公司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广西正远监理咨询有限公司</w:t>
            </w:r>
          </w:p>
        </w:tc>
      </w:tr>
      <w:tr w14:paraId="29264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982A9">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8</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B2A9">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投资决策咨询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4AE01">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深圳市威彦达工程监理有限公司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深圳市深电供电新能源有限公司</w:t>
            </w:r>
          </w:p>
        </w:tc>
      </w:tr>
      <w:tr w14:paraId="0CD8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BEF91">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9</w:t>
            </w:r>
          </w:p>
        </w:tc>
        <w:tc>
          <w:tcPr>
            <w:tcW w:w="3274" w:type="dxa"/>
            <w:tcBorders>
              <w:top w:val="nil"/>
              <w:left w:val="nil"/>
              <w:bottom w:val="nil"/>
              <w:right w:val="nil"/>
            </w:tcBorders>
            <w:shd w:val="clear" w:color="auto" w:fill="auto"/>
            <w:noWrap/>
            <w:vAlign w:val="center"/>
          </w:tcPr>
          <w:p w14:paraId="6531D798">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勘察设计咨询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82D7">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佛山电力设计院有限公司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广东中汇电力咨询有限公司</w:t>
            </w:r>
          </w:p>
        </w:tc>
      </w:tr>
      <w:tr w14:paraId="3F7D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503C">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10</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DEB25">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勘察设计</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FF2A">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佛山电力设计院有限公司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广西正远监理咨询有限公司</w:t>
            </w:r>
          </w:p>
        </w:tc>
      </w:tr>
      <w:tr w14:paraId="7F090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B7514">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11</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98A89">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招标采购咨询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8E60">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广东律诚工程咨询有限公司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highlight w:val="none"/>
                <w:lang w:val="en-US" w:eastAsia="zh-CN"/>
              </w:rPr>
              <w:t>华能陇东能源有限责任公司</w:t>
            </w:r>
          </w:p>
        </w:tc>
      </w:tr>
      <w:tr w14:paraId="2ED70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D12E">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12</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94839">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招标代理</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CA17">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广东律诚工程咨询有限公司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highlight w:val="none"/>
                <w:lang w:val="en-US" w:eastAsia="zh-CN"/>
              </w:rPr>
              <w:t>华能陇东能源有限责任公司</w:t>
            </w:r>
          </w:p>
        </w:tc>
      </w:tr>
      <w:tr w14:paraId="795F8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A194">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13</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7231C">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工程监理</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55737">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惠州市新科创工程建设监理有限公司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广州电力工程监理有限公司</w:t>
            </w:r>
          </w:p>
        </w:tc>
      </w:tr>
      <w:tr w14:paraId="475D4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60F5D">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14</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827C">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设备监理</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C2DDF">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惠州市新科创工程建设监理有限公司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广州电力工程监理有限公司</w:t>
            </w:r>
          </w:p>
        </w:tc>
      </w:tr>
      <w:tr w14:paraId="784C0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24B23">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15</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407E">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造价咨询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88F2">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中建卓越建设管理有限公司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中建三局第二建设工程有限责任公司</w:t>
            </w:r>
          </w:p>
        </w:tc>
      </w:tr>
      <w:tr w14:paraId="475D7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3BF1">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16</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DDD1">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数智化管理咨询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2FB91">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中国电建集团河南省电力勘测设计院有限公司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河北兴源工程建设监理有限公司</w:t>
            </w:r>
          </w:p>
        </w:tc>
      </w:tr>
      <w:tr w14:paraId="713B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D8CF9">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17</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B683">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绿色建造咨询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24AC">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深圳市威彦达工程监理有限公司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深圳市深电供电新能源有限公司</w:t>
            </w:r>
          </w:p>
        </w:tc>
      </w:tr>
      <w:tr w14:paraId="5985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F6150">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18</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D81A">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新技术应用咨询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59A94">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中国电建集团河南省电力勘测设计院有限公司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河北兴源工程建设监理有限公司</w:t>
            </w:r>
          </w:p>
        </w:tc>
      </w:tr>
      <w:tr w14:paraId="731E2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716D">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17</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C5EF9">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质量评价</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65944">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highlight w:val="none"/>
                <w:lang w:val="en-US" w:eastAsia="zh-CN"/>
              </w:rPr>
              <w:t>华能陇东能源有限责任公司</w:t>
            </w:r>
          </w:p>
        </w:tc>
      </w:tr>
      <w:tr w14:paraId="28A5B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40DB3">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19</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D4852">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项目后评价</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4605">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中建卓越建设管理有限公司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中建三局第二建设工程有限责任公司</w:t>
            </w:r>
          </w:p>
        </w:tc>
      </w:tr>
      <w:tr w14:paraId="733B3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189DC">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20.1</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BA200">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 xml:space="preserve">合规性手续申办咨询 </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D4707">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珠海电力工程监理有限责任公司</w:t>
            </w:r>
          </w:p>
        </w:tc>
      </w:tr>
      <w:tr w14:paraId="09B9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59B08">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20.2</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4D4FD">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运行维护咨询</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A5EE6">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珠海电力工程监理有限责任公司</w:t>
            </w:r>
          </w:p>
        </w:tc>
      </w:tr>
      <w:tr w14:paraId="21ADC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E8AB2">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20.3</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5637C">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第三方安全督查</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96E7">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珠海电力工程监理有限责任公司</w:t>
            </w:r>
          </w:p>
        </w:tc>
      </w:tr>
      <w:tr w14:paraId="6B5B6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273F">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20.4</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3BB8A">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 xml:space="preserve">安全生产标准化咨询 </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CA16">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珠海电力工程监理有限责任公司</w:t>
            </w:r>
          </w:p>
        </w:tc>
      </w:tr>
      <w:tr w14:paraId="6941C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FA2FB">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20.5</w:t>
            </w:r>
          </w:p>
        </w:tc>
        <w:tc>
          <w:tcPr>
            <w:tcW w:w="3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1345C">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 xml:space="preserve">质量提升咨询 </w:t>
            </w:r>
          </w:p>
        </w:tc>
        <w:tc>
          <w:tcPr>
            <w:tcW w:w="4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C8D46">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珠海电力工程监理有限责任公司</w:t>
            </w:r>
          </w:p>
        </w:tc>
      </w:tr>
      <w:tr w14:paraId="6AFEB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97841">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20.6</w:t>
            </w:r>
          </w:p>
        </w:tc>
        <w:tc>
          <w:tcPr>
            <w:tcW w:w="327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60651BD">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设计评审</w:t>
            </w:r>
          </w:p>
        </w:tc>
        <w:tc>
          <w:tcPr>
            <w:tcW w:w="463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09834E7">
            <w:pPr>
              <w:numPr>
                <w:ilvl w:val="255"/>
                <w:numId w:val="0"/>
              </w:numPr>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佛山电力设计院有限公司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广东中汇电力咨询有限公司</w:t>
            </w:r>
          </w:p>
        </w:tc>
      </w:tr>
      <w:tr w14:paraId="16896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85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EF1321D">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20.7</w:t>
            </w:r>
          </w:p>
        </w:tc>
        <w:tc>
          <w:tcPr>
            <w:tcW w:w="32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383638">
            <w:pPr>
              <w:numPr>
                <w:ilvl w:val="255"/>
                <w:numId w:val="0"/>
              </w:numPr>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ESG评价</w:t>
            </w:r>
          </w:p>
        </w:tc>
        <w:tc>
          <w:tcPr>
            <w:tcW w:w="46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2A480A">
            <w:pPr>
              <w:numPr>
                <w:ilvl w:val="255"/>
                <w:numId w:val="0"/>
              </w:numPr>
              <w:jc w:val="left"/>
              <w:rPr>
                <w:rFonts w:hint="default" w:ascii="仿宋" w:hAnsi="仿宋" w:eastAsia="仿宋" w:cs="仿宋"/>
                <w:kern w:val="2"/>
                <w:sz w:val="28"/>
                <w:szCs w:val="28"/>
                <w:highlight w:val="none"/>
                <w:lang w:val="en-US" w:eastAsia="zh-CN" w:bidi="ar-SA"/>
              </w:rPr>
            </w:pPr>
            <w:r>
              <w:rPr>
                <w:rFonts w:hint="eastAsia" w:ascii="仿宋" w:hAnsi="仿宋" w:eastAsia="仿宋" w:cs="仿宋"/>
                <w:sz w:val="28"/>
                <w:szCs w:val="28"/>
                <w:lang w:val="en-US" w:eastAsia="zh-CN"/>
              </w:rPr>
              <w:t>广东诚誉工程咨询监理有限公司</w:t>
            </w:r>
            <w:r>
              <w:rPr>
                <w:rFonts w:hint="eastAsia" w:ascii="仿宋" w:hAnsi="仿宋" w:eastAsia="仿宋" w:cs="仿宋"/>
                <w:kern w:val="2"/>
                <w:sz w:val="28"/>
                <w:szCs w:val="28"/>
                <w:highlight w:val="none"/>
                <w:lang w:val="en-US" w:eastAsia="zh-CN" w:bidi="ar-SA"/>
              </w:rPr>
              <w:t>、</w:t>
            </w:r>
            <w:r>
              <w:rPr>
                <w:rFonts w:hint="eastAsia" w:ascii="仿宋" w:hAnsi="仿宋" w:eastAsia="仿宋" w:cs="仿宋"/>
                <w:sz w:val="28"/>
                <w:szCs w:val="28"/>
                <w:lang w:val="en-US" w:eastAsia="zh-CN"/>
              </w:rPr>
              <w:t>珠海电力工程监理有限责任公司</w:t>
            </w:r>
          </w:p>
        </w:tc>
      </w:tr>
    </w:tbl>
    <w:p w14:paraId="27EF4A4D">
      <w:pPr>
        <w:numPr>
          <w:ilvl w:val="255"/>
          <w:numId w:val="0"/>
        </w:numPr>
        <w:ind w:firstLine="640" w:firstLineChars="200"/>
        <w:rPr>
          <w:rFonts w:hint="eastAsia" w:ascii="仿宋" w:hAnsi="仿宋" w:eastAsia="仿宋" w:cs="仿宋"/>
          <w:sz w:val="32"/>
          <w:szCs w:val="32"/>
          <w:highlight w:val="none"/>
          <w:lang w:val="en-US" w:eastAsia="zh-CN"/>
        </w:rPr>
      </w:pPr>
    </w:p>
    <w:p w14:paraId="3A0FC801">
      <w:pPr>
        <w:numPr>
          <w:ilvl w:val="255"/>
          <w:numId w:val="0"/>
        </w:numPr>
        <w:ind w:firstLine="640" w:firstLineChars="200"/>
        <w:outlineLvl w:val="1"/>
        <w:rPr>
          <w:rFonts w:hint="eastAsia" w:ascii="仿宋" w:hAnsi="仿宋" w:eastAsia="仿宋" w:cs="仿宋"/>
          <w:color w:val="auto"/>
          <w:sz w:val="32"/>
          <w:szCs w:val="32"/>
          <w:lang w:val="en-US" w:eastAsia="zh-CN"/>
        </w:rPr>
      </w:pPr>
      <w:bookmarkStart w:id="3" w:name="_Toc29175"/>
      <w:r>
        <w:rPr>
          <w:rFonts w:hint="eastAsia" w:ascii="仿宋" w:hAnsi="仿宋" w:eastAsia="仿宋" w:cs="仿宋"/>
          <w:color w:val="auto"/>
          <w:sz w:val="32"/>
          <w:szCs w:val="32"/>
          <w:lang w:val="en-US" w:eastAsia="zh-CN"/>
        </w:rPr>
        <w:t>1.3起草过程</w:t>
      </w:r>
      <w:bookmarkEnd w:id="3"/>
    </w:p>
    <w:p w14:paraId="687DC7A5">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2025年</w:t>
      </w:r>
      <w:r>
        <w:rPr>
          <w:rFonts w:hint="eastAsia" w:ascii="仿宋" w:hAnsi="仿宋" w:eastAsia="仿宋" w:cs="仿宋"/>
          <w:sz w:val="32"/>
          <w:szCs w:val="32"/>
          <w:lang w:val="en-US" w:eastAsia="zh-CN"/>
        </w:rPr>
        <w:t>9</w:t>
      </w:r>
      <w:r>
        <w:rPr>
          <w:rFonts w:hint="eastAsia" w:ascii="仿宋" w:hAnsi="仿宋" w:eastAsia="仿宋" w:cs="仿宋"/>
          <w:sz w:val="32"/>
          <w:szCs w:val="32"/>
        </w:rPr>
        <w:t>月，中电建协在</w:t>
      </w:r>
      <w:r>
        <w:rPr>
          <w:rFonts w:hint="eastAsia" w:ascii="仿宋" w:hAnsi="仿宋" w:eastAsia="仿宋" w:cs="仿宋"/>
          <w:sz w:val="32"/>
          <w:szCs w:val="32"/>
          <w:lang w:val="en-US" w:eastAsia="zh-CN"/>
        </w:rPr>
        <w:t>湖南长沙</w:t>
      </w:r>
      <w:r>
        <w:rPr>
          <w:rFonts w:hint="eastAsia" w:ascii="仿宋" w:hAnsi="仿宋" w:eastAsia="仿宋" w:cs="仿宋"/>
          <w:sz w:val="32"/>
          <w:szCs w:val="32"/>
        </w:rPr>
        <w:t>组织召开《电力建设全过程工程咨询导则 第4部分：光伏发电工程》标准初稿讨论会，主编单位、参编单位对标准编制大纲、标准初稿内容及修编分工进行了研究和讨论，并制定下一步工作计划。</w:t>
      </w:r>
    </w:p>
    <w:p w14:paraId="51680F3C">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2025年11月，中电建协在</w:t>
      </w:r>
      <w:r>
        <w:rPr>
          <w:rFonts w:hint="eastAsia" w:ascii="仿宋" w:hAnsi="仿宋" w:eastAsia="仿宋" w:cs="仿宋"/>
          <w:sz w:val="32"/>
          <w:szCs w:val="32"/>
          <w:lang w:val="en-US" w:eastAsia="zh-CN"/>
        </w:rPr>
        <w:t>河南郑州</w:t>
      </w:r>
      <w:r>
        <w:rPr>
          <w:rFonts w:hint="eastAsia" w:ascii="仿宋" w:hAnsi="仿宋" w:eastAsia="仿宋" w:cs="仿宋"/>
          <w:sz w:val="32"/>
          <w:szCs w:val="32"/>
        </w:rPr>
        <w:t>召开《电力建设全过程工程咨询导则 第4部分：光伏发电工程》二稿讨论会，会上主编单位介绍初稿修编情况，各参编单位研究讨论形成二稿修改方案，并在会后完成二稿修改完善。</w:t>
      </w:r>
    </w:p>
    <w:p w14:paraId="1CB8E206">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月，中电建协在</w:t>
      </w:r>
      <w:r>
        <w:rPr>
          <w:rFonts w:hint="eastAsia" w:ascii="仿宋" w:hAnsi="仿宋" w:eastAsia="仿宋" w:cs="仿宋"/>
          <w:sz w:val="32"/>
          <w:szCs w:val="32"/>
          <w:lang w:val="en-US" w:eastAsia="zh-CN"/>
        </w:rPr>
        <w:t>广东深圳</w:t>
      </w:r>
      <w:r>
        <w:rPr>
          <w:rFonts w:hint="eastAsia" w:ascii="仿宋" w:hAnsi="仿宋" w:eastAsia="仿宋" w:cs="仿宋"/>
          <w:sz w:val="32"/>
          <w:szCs w:val="32"/>
        </w:rPr>
        <w:t>召开《电力建设全过程工程咨询导则 第4部分：光伏发电工程》征求意见稿</w:t>
      </w:r>
      <w:r>
        <w:rPr>
          <w:rFonts w:hint="eastAsia" w:ascii="仿宋" w:hAnsi="仿宋" w:eastAsia="仿宋" w:cs="仿宋"/>
          <w:sz w:val="32"/>
          <w:szCs w:val="32"/>
          <w:lang w:val="en-US" w:eastAsia="zh-CN"/>
        </w:rPr>
        <w:t>定稿</w:t>
      </w:r>
      <w:r>
        <w:rPr>
          <w:rFonts w:hint="eastAsia" w:ascii="仿宋" w:hAnsi="仿宋" w:eastAsia="仿宋" w:cs="仿宋"/>
          <w:sz w:val="32"/>
          <w:szCs w:val="32"/>
        </w:rPr>
        <w:t>会，会上主编单位介绍了二稿讨论会提出的意见修改情况，主编单位、参编单位对本标准的征求意见稿进行讨论，并会后完成本标准的修改工作，形成征求意见稿</w:t>
      </w:r>
      <w:r>
        <w:rPr>
          <w:rFonts w:hint="eastAsia" w:ascii="仿宋" w:hAnsi="仿宋" w:eastAsia="仿宋" w:cs="仿宋"/>
          <w:sz w:val="32"/>
          <w:szCs w:val="32"/>
          <w:lang w:val="en-US" w:eastAsia="zh-CN"/>
        </w:rPr>
        <w:t>并计划在9月开始广泛调研。</w:t>
      </w:r>
    </w:p>
    <w:p w14:paraId="1E74320D">
      <w:pPr>
        <w:ind w:firstLine="643" w:firstLineChars="200"/>
        <w:outlineLvl w:val="0"/>
        <w:rPr>
          <w:rFonts w:hint="eastAsia" w:ascii="仿宋" w:hAnsi="仿宋" w:eastAsia="仿宋" w:cs="仿宋"/>
          <w:b/>
          <w:bCs/>
          <w:sz w:val="32"/>
          <w:szCs w:val="32"/>
          <w:lang w:val="en-US" w:eastAsia="zh-CN"/>
        </w:rPr>
      </w:pPr>
      <w:bookmarkStart w:id="4" w:name="_Toc26287"/>
      <w:r>
        <w:rPr>
          <w:rFonts w:hint="eastAsia" w:ascii="仿宋" w:hAnsi="仿宋" w:eastAsia="仿宋" w:cs="仿宋"/>
          <w:b/>
          <w:bCs/>
          <w:sz w:val="32"/>
          <w:szCs w:val="32"/>
          <w:lang w:val="en-US" w:eastAsia="zh-CN"/>
        </w:rPr>
        <w:t>2.立项的必要性</w:t>
      </w:r>
      <w:bookmarkEnd w:id="4"/>
    </w:p>
    <w:p w14:paraId="39AD8A08">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val="en-US" w:eastAsia="zh-CN"/>
        </w:rPr>
        <w:t>2.1</w:t>
      </w:r>
      <w:r>
        <w:rPr>
          <w:rFonts w:hint="eastAsia" w:ascii="仿宋" w:hAnsi="仿宋" w:eastAsia="仿宋" w:cs="仿宋"/>
          <w:sz w:val="32"/>
          <w:szCs w:val="32"/>
        </w:rPr>
        <w:t>行业发展现状</w:t>
      </w:r>
    </w:p>
    <w:p w14:paraId="7B57C334">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据《“十四五”现代能源体系规划》《关于促进新时代新能源高质量发展的实施方案》（国办函〔2022〕39号），2025年我国非化石能源消费比重将达20%以上，光伏装机容量预计超5亿千瓦。</w:t>
      </w:r>
    </w:p>
    <w:p w14:paraId="4CE272FA">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当前光伏工程咨询存在技术标准分散、全周期管理衔接不足等问题，导致项目前期规划科学性不足、施工过程协同效率低、后期运维经济性待优化。《国务院办公厅关于促进建筑业持续健康发展的意见》（国办发〔2017〕19号）明确提出“培育全过程工程咨询”，要求完善工程建设组织模式；《国家标准化发展纲要》强调通过标准引领战略性新兴产业质量提升。光伏发电作为国家重点发展的清洁能源领域，亟须建立与之匹配的全过程咨询标准体系。</w:t>
      </w:r>
    </w:p>
    <w:p w14:paraId="332DA221">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依据《国务院办公厅关于促进建筑业持续健康发展的意见》（国办发〔2017〕19号）关于“培育全过程工程咨询”的部署，本导则整合现有技术规范（如《光伏发电工程验收规范》GB/T 50796、《电力建设工程监理规范》DL/T 5434），明确各环节协同要求，填补行业标准空白，助力降低项目全生命周期成本，提升行业集约化发展水平。</w:t>
      </w:r>
    </w:p>
    <w:p w14:paraId="4759EC79">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val="en-US" w:eastAsia="zh-CN"/>
        </w:rPr>
        <w:t>2.2</w:t>
      </w:r>
      <w:r>
        <w:rPr>
          <w:rFonts w:hint="eastAsia" w:ascii="仿宋" w:hAnsi="仿宋" w:eastAsia="仿宋" w:cs="仿宋"/>
          <w:sz w:val="32"/>
          <w:szCs w:val="32"/>
        </w:rPr>
        <w:t>行业现存痛点</w:t>
      </w:r>
    </w:p>
    <w:p w14:paraId="39C81F03">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目前，我国光伏发电工程相关标准主要集中在技术实施和单一环节规范，例如：《光伏发电工程验收规范》（GB/T 50796-2012）：侧重竣工验收环节的技术指标；《电力建设工程监理规范》（DL/T 5434-2021）：规范施工监理流程，但未覆盖前期策划与后期运维；《建设项目工程总承包管理规范》（GB/T 50358-2017）：针对工程总承包模式，缺乏对咨询服务的全流程协同要求。现有标准呈现“碎片化”特点，未形成覆盖光伏项目全生命周期（策划、设计、施工、运维）的咨询标准体系，导致技术衔接不畅、管理协同不足。</w:t>
      </w:r>
    </w:p>
    <w:p w14:paraId="08C53516">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国际标准化组织（ISO）及国际电工委员会（IEC）发布了部分光伏领域标准，但同样聚焦单一环节：IEC 62446-1:2016：规定光伏系统测试、文档和维护要求，但未涉及全过程管理；ISO 55000系列：提供资产管理框架，可部分借鉴于运维阶段，但未与建设期咨询整合。欧美国家通过市场化咨询机构（如德国TÜV Rheinland光伏认证体系、美国NREL光伏项目全周期评估工具）推动技术协同，但其标准多以企业级实践为主，缺乏国家级全过程咨询通用规范。</w:t>
      </w:r>
    </w:p>
    <w:p w14:paraId="6A821C0F">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国内外现有标准均未系统性解决光伏工程全周期咨询的技术协同、数据共享及风险管控问题。</w:t>
      </w:r>
    </w:p>
    <w:p w14:paraId="58685D93">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val="en-US" w:eastAsia="zh-CN"/>
        </w:rPr>
        <w:t>2.3</w:t>
      </w:r>
      <w:r>
        <w:rPr>
          <w:rFonts w:hint="eastAsia" w:ascii="仿宋" w:hAnsi="仿宋" w:eastAsia="仿宋" w:cs="仿宋"/>
          <w:sz w:val="32"/>
          <w:szCs w:val="32"/>
        </w:rPr>
        <w:t>本标准拟解决的核心问题</w:t>
      </w:r>
    </w:p>
    <w:p w14:paraId="6A0D3808">
      <w:pPr>
        <w:numPr>
          <w:ilvl w:val="255"/>
          <w:numId w:val="0"/>
        </w:numPr>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本导则通过整合国内现行标准（GB/T 50796、DL/T 5434等）并借鉴国际资产管理经验（ISO 55000），首次构建覆盖光伏发电工程全链条的咨询标准体系，填补行业空白，支撑“双碳”目标下新型电力系统建设需求。</w:t>
      </w:r>
    </w:p>
    <w:p w14:paraId="573FB936">
      <w:pPr>
        <w:numPr>
          <w:ilvl w:val="255"/>
          <w:numId w:val="0"/>
        </w:numPr>
        <w:ind w:firstLine="640" w:firstLineChars="200"/>
        <w:outlineLvl w:val="9"/>
        <w:rPr>
          <w:rFonts w:hint="eastAsia" w:ascii="仿宋" w:hAnsi="仿宋" w:eastAsia="仿宋" w:cs="仿宋"/>
          <w:b w:val="0"/>
          <w:bCs w:val="0"/>
          <w:sz w:val="32"/>
          <w:szCs w:val="32"/>
          <w:lang w:val="en-US" w:eastAsia="zh-CN"/>
        </w:rPr>
      </w:pPr>
      <w:r>
        <w:rPr>
          <w:rFonts w:hint="eastAsia" w:ascii="仿宋" w:hAnsi="仿宋" w:eastAsia="仿宋" w:cs="仿宋"/>
          <w:sz w:val="32"/>
          <w:szCs w:val="32"/>
        </w:rPr>
        <w:t>通过规范光伏项目策划、设计、施工、运维等全流程咨询服务内容，解决行业标准分散、管理协同不足等问题，支撑新型电力系统建设与能源结构转型。</w:t>
      </w:r>
    </w:p>
    <w:p w14:paraId="75727B8F">
      <w:pPr>
        <w:ind w:firstLine="643" w:firstLineChars="200"/>
        <w:outlineLvl w:val="0"/>
        <w:rPr>
          <w:rFonts w:hint="eastAsia" w:ascii="仿宋" w:hAnsi="仿宋" w:eastAsia="仿宋" w:cs="仿宋"/>
          <w:sz w:val="32"/>
          <w:szCs w:val="32"/>
          <w:lang w:val="en-US" w:eastAsia="zh-CN"/>
        </w:rPr>
      </w:pPr>
      <w:bookmarkStart w:id="5" w:name="_Toc30684"/>
      <w:r>
        <w:rPr>
          <w:rFonts w:hint="eastAsia" w:ascii="仿宋" w:hAnsi="仿宋" w:eastAsia="仿宋" w:cs="仿宋"/>
          <w:b/>
          <w:bCs/>
          <w:sz w:val="32"/>
          <w:szCs w:val="32"/>
          <w:lang w:val="en-US" w:eastAsia="zh-CN"/>
        </w:rPr>
        <w:t>3.</w:t>
      </w:r>
      <w:r>
        <w:rPr>
          <w:rFonts w:hint="eastAsia" w:ascii="仿宋" w:hAnsi="仿宋" w:eastAsia="仿宋" w:cs="仿宋"/>
          <w:b/>
          <w:bCs/>
          <w:sz w:val="32"/>
          <w:szCs w:val="32"/>
        </w:rPr>
        <w:t>编制原则、主要内容及其确定依据</w:t>
      </w:r>
      <w:bookmarkEnd w:id="5"/>
    </w:p>
    <w:p w14:paraId="7C525FBB">
      <w:pPr>
        <w:numPr>
          <w:ilvl w:val="255"/>
          <w:numId w:val="0"/>
        </w:numPr>
        <w:ind w:firstLine="640" w:firstLineChars="200"/>
        <w:outlineLvl w:val="1"/>
        <w:rPr>
          <w:rFonts w:hint="eastAsia" w:ascii="仿宋" w:hAnsi="仿宋" w:eastAsia="仿宋" w:cs="仿宋"/>
          <w:sz w:val="32"/>
          <w:szCs w:val="32"/>
          <w:lang w:val="en-US" w:eastAsia="zh-CN"/>
        </w:rPr>
      </w:pPr>
      <w:bookmarkStart w:id="6" w:name="_Toc22023"/>
      <w:r>
        <w:rPr>
          <w:rFonts w:hint="eastAsia" w:ascii="仿宋" w:hAnsi="仿宋" w:eastAsia="仿宋" w:cs="仿宋"/>
          <w:sz w:val="32"/>
          <w:szCs w:val="32"/>
          <w:lang w:val="en-US" w:eastAsia="zh-CN"/>
        </w:rPr>
        <w:t>3.1标准编制原则</w:t>
      </w:r>
      <w:bookmarkEnd w:id="6"/>
    </w:p>
    <w:p w14:paraId="3C7DD96C">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一是</w:t>
      </w:r>
      <w:r>
        <w:rPr>
          <w:rFonts w:hint="eastAsia" w:ascii="仿宋" w:hAnsi="仿宋" w:eastAsia="仿宋" w:cs="仿宋"/>
          <w:sz w:val="32"/>
          <w:szCs w:val="32"/>
        </w:rPr>
        <w:t>合规性与协调性原则</w:t>
      </w:r>
      <w:r>
        <w:rPr>
          <w:rFonts w:hint="eastAsia" w:ascii="仿宋" w:hAnsi="仿宋" w:eastAsia="仿宋" w:cs="仿宋"/>
          <w:sz w:val="32"/>
          <w:szCs w:val="32"/>
          <w:lang w:eastAsia="zh-CN"/>
        </w:rPr>
        <w:t>。</w:t>
      </w:r>
      <w:r>
        <w:rPr>
          <w:rFonts w:hint="eastAsia" w:ascii="仿宋" w:hAnsi="仿宋" w:eastAsia="仿宋" w:cs="仿宋"/>
          <w:sz w:val="32"/>
          <w:szCs w:val="32"/>
        </w:rPr>
        <w:t>严格遵循《中华人民共和国标准化法》《建设工程质量管理条例》等法律法规，按照GB/T1.1—2020《标准化工作导则第1部分：标准化文件的结构和起草规则》要求编写。条款内容与现行电力建设国家、行业标准保持协调一致，定位为专项补充规范，不替代、不抵触通用标准。</w:t>
      </w:r>
    </w:p>
    <w:p w14:paraId="59BE5F62">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二是</w:t>
      </w:r>
      <w:r>
        <w:rPr>
          <w:rFonts w:hint="eastAsia" w:ascii="仿宋" w:hAnsi="仿宋" w:eastAsia="仿宋" w:cs="仿宋"/>
          <w:sz w:val="32"/>
          <w:szCs w:val="32"/>
        </w:rPr>
        <w:t>科学性与先进性原则</w:t>
      </w:r>
      <w:r>
        <w:rPr>
          <w:rFonts w:hint="eastAsia" w:ascii="仿宋" w:hAnsi="仿宋" w:eastAsia="仿宋" w:cs="仿宋"/>
          <w:sz w:val="32"/>
          <w:szCs w:val="32"/>
          <w:lang w:eastAsia="zh-CN"/>
        </w:rPr>
        <w:t>。采用 “项目管理 + 专项咨询” 科学业务划分，针对不同项目场景设置差异化咨询要点。纳入 ESG 评价、绿色建造、数智化管理等新兴咨询业务，重点完善海上光伏</w:t>
      </w:r>
      <w:r>
        <w:rPr>
          <w:rFonts w:hint="eastAsia" w:ascii="仿宋" w:hAnsi="仿宋" w:eastAsia="仿宋" w:cs="仿宋"/>
          <w:sz w:val="32"/>
          <w:szCs w:val="32"/>
          <w:lang w:val="en-US" w:eastAsia="zh-CN"/>
        </w:rPr>
        <w:t>项目</w:t>
      </w:r>
      <w:r>
        <w:rPr>
          <w:rFonts w:hint="eastAsia" w:ascii="仿宋" w:hAnsi="仿宋" w:eastAsia="仿宋" w:cs="仿宋"/>
          <w:sz w:val="32"/>
          <w:szCs w:val="32"/>
          <w:lang w:eastAsia="zh-CN"/>
        </w:rPr>
        <w:t>咨询内容，适配我国新能源高质量建设发展需求</w:t>
      </w:r>
      <w:r>
        <w:rPr>
          <w:rFonts w:hint="eastAsia" w:ascii="仿宋" w:hAnsi="仿宋" w:eastAsia="仿宋" w:cs="仿宋"/>
          <w:sz w:val="32"/>
          <w:szCs w:val="32"/>
        </w:rPr>
        <w:t>。</w:t>
      </w:r>
    </w:p>
    <w:p w14:paraId="74000CB9">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三是</w:t>
      </w:r>
      <w:r>
        <w:rPr>
          <w:rFonts w:hint="eastAsia" w:ascii="仿宋" w:hAnsi="仿宋" w:eastAsia="仿宋" w:cs="仿宋"/>
          <w:sz w:val="32"/>
          <w:szCs w:val="32"/>
        </w:rPr>
        <w:t>实用性与可操作性原则</w:t>
      </w:r>
      <w:r>
        <w:rPr>
          <w:rFonts w:hint="eastAsia" w:ascii="仿宋" w:hAnsi="仿宋" w:eastAsia="仿宋" w:cs="仿宋"/>
          <w:sz w:val="32"/>
          <w:szCs w:val="32"/>
          <w:lang w:eastAsia="zh-CN"/>
        </w:rPr>
        <w:t>。内容来源于国内各类光伏项目全过程工程咨询真实业务实践，聚焦咨询机构 “具体做什么、输出什么成果”，便于工程人员直接引用执行</w:t>
      </w:r>
      <w:r>
        <w:rPr>
          <w:rFonts w:hint="eastAsia" w:ascii="仿宋" w:hAnsi="仿宋" w:eastAsia="仿宋" w:cs="仿宋"/>
          <w:sz w:val="32"/>
          <w:szCs w:val="32"/>
        </w:rPr>
        <w:t>。</w:t>
      </w:r>
    </w:p>
    <w:p w14:paraId="4EC55F2C">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四是系统性原则</w:t>
      </w:r>
      <w:r>
        <w:rPr>
          <w:rFonts w:hint="eastAsia" w:ascii="仿宋" w:hAnsi="仿宋" w:eastAsia="仿宋" w:cs="仿宋"/>
          <w:sz w:val="32"/>
          <w:szCs w:val="32"/>
          <w:lang w:eastAsia="zh-CN"/>
        </w:rPr>
        <w:t>。构建起覆盖光伏发电工程投资决策、建设准备、工程实施、竣工运维直至项目后评价的完整业务链条</w:t>
      </w:r>
      <w:r>
        <w:rPr>
          <w:rFonts w:hint="eastAsia" w:ascii="仿宋" w:hAnsi="仿宋" w:eastAsia="仿宋" w:cs="仿宋"/>
          <w:sz w:val="32"/>
          <w:szCs w:val="32"/>
        </w:rPr>
        <w:t>，配套规范性附录 A 服务清单实现业务可视化梳理</w:t>
      </w:r>
      <w:r>
        <w:rPr>
          <w:rFonts w:hint="eastAsia" w:ascii="仿宋" w:hAnsi="仿宋" w:eastAsia="仿宋" w:cs="仿宋"/>
          <w:sz w:val="32"/>
          <w:szCs w:val="32"/>
          <w:lang w:eastAsia="zh-CN"/>
        </w:rPr>
        <w:t>，</w:t>
      </w:r>
      <w:r>
        <w:rPr>
          <w:rFonts w:hint="eastAsia" w:ascii="仿宋" w:hAnsi="仿宋" w:eastAsia="仿宋" w:cs="仿宋"/>
          <w:sz w:val="32"/>
          <w:szCs w:val="32"/>
        </w:rPr>
        <w:t>可指导项目从前期策划到后期评价的全流程咨询工作。</w:t>
      </w:r>
    </w:p>
    <w:p w14:paraId="0986838F">
      <w:pPr>
        <w:numPr>
          <w:ilvl w:val="255"/>
          <w:numId w:val="0"/>
        </w:numPr>
        <w:ind w:firstLine="640" w:firstLineChars="200"/>
        <w:outlineLvl w:val="1"/>
        <w:rPr>
          <w:rFonts w:hint="eastAsia" w:ascii="仿宋" w:hAnsi="仿宋" w:eastAsia="仿宋" w:cs="仿宋"/>
          <w:sz w:val="32"/>
          <w:szCs w:val="32"/>
          <w:lang w:val="en-US" w:eastAsia="zh-CN"/>
        </w:rPr>
      </w:pPr>
      <w:bookmarkStart w:id="7" w:name="_Toc10076"/>
      <w:r>
        <w:rPr>
          <w:rFonts w:hint="eastAsia" w:ascii="仿宋" w:hAnsi="仿宋" w:eastAsia="仿宋" w:cs="仿宋"/>
          <w:sz w:val="32"/>
          <w:szCs w:val="32"/>
          <w:lang w:val="en-US" w:eastAsia="zh-CN"/>
        </w:rPr>
        <w:t>3.2标准的主要内容</w:t>
      </w:r>
      <w:bookmarkEnd w:id="7"/>
    </w:p>
    <w:p w14:paraId="76835942">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本文件</w:t>
      </w:r>
      <w:r>
        <w:rPr>
          <w:rFonts w:hint="eastAsia" w:ascii="仿宋" w:hAnsi="仿宋" w:eastAsia="仿宋" w:cs="仿宋"/>
          <w:sz w:val="32"/>
          <w:szCs w:val="32"/>
          <w:lang w:val="en-US" w:eastAsia="zh-CN"/>
        </w:rPr>
        <w:t>共21章节及1个规范性附录，核心内容涵盖范围、规范性引用文件、术语和定义、总体原则与要求、工程咨询机构及其设施、工程咨询服务策划、项目管理、投资决策咨询、勘察设计咨询、勘察设计、招标采购咨询、招标代理、工程监理、设备监理、造价咨询、数智化管理咨询、绿色建造咨询、新技术应用咨询、质量评价、项目后评价、其他咨询以及附录A（规范性）光伏发电工程全过程工程咨询服务清单</w:t>
      </w:r>
      <w:r>
        <w:rPr>
          <w:rFonts w:hint="eastAsia" w:ascii="仿宋" w:hAnsi="仿宋" w:eastAsia="仿宋" w:cs="仿宋"/>
          <w:sz w:val="32"/>
          <w:szCs w:val="32"/>
        </w:rPr>
        <w:t>。具体内容如下：</w:t>
      </w:r>
    </w:p>
    <w:p w14:paraId="78205653">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1范围</w:t>
      </w:r>
      <w:r>
        <w:rPr>
          <w:rFonts w:hint="eastAsia" w:ascii="仿宋" w:hAnsi="仿宋" w:eastAsia="仿宋" w:cs="仿宋"/>
          <w:sz w:val="32"/>
          <w:szCs w:val="32"/>
        </w:rPr>
        <w:t>：规定了光伏发电工程建设全过程工程咨询的总体原则和要求、工程咨询机构及其设施、项目管理以及投资决策咨询等专项咨询工作内容和管理要求，适用于光伏发电工程新建、扩建、改建等有关活动的全过程工程咨询服务。</w:t>
      </w:r>
    </w:p>
    <w:p w14:paraId="274FD8D2">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2规范性引用文件：列出本标准编制所引用的国家、电力和能源行业相关标准规范，明确注日期和不注日期引用文件的适用原则。</w:t>
      </w:r>
    </w:p>
    <w:p w14:paraId="3EFCA318">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3术语和定义：界定光伏发电工程、海上光伏发电工程、全过程工程咨询、工程咨询项目经理、专项咨询负责人等核心术语的定义，统一行业认知。</w:t>
      </w:r>
    </w:p>
    <w:p w14:paraId="49FED1BE">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4总体原则和要求：提出咨询服务原则、项目管理+专项咨询的组织模式、单位能力、合同管理、利益回避等总体要求。</w:t>
      </w:r>
    </w:p>
    <w:p w14:paraId="02D250E7">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5工程咨询机构及其设施：分为一般规定、工程咨询人员职责和工程咨询服务设施三节，对光伏发电工程全过程工程咨询的机构组建、人员配置与岗位职责、软硬件保障条件作出规定。</w:t>
      </w:r>
    </w:p>
    <w:p w14:paraId="76B656BE">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6工程咨询服务策划：分为一般规定、全过程工程咨询服务规划和咨询服务实施细则三节，对光伏发电工程全过程工程咨询的策划文件编制、审批、交底、动态修订作出规定。</w:t>
      </w:r>
    </w:p>
    <w:p w14:paraId="7C9B3CD8">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项目管理：是光伏发电工程全过程工程咨询的总控管理内容，覆盖项目从立项到竣工总结评价的项目管理工作，分投资决策阶段、工程建设准备阶段、工程建设实施阶段三大阶段，依次明确各阶段的一般规定和主要咨询工作。</w:t>
      </w:r>
    </w:p>
    <w:p w14:paraId="0BF92941">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8～21章</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专项咨询</w:t>
      </w:r>
      <w:r>
        <w:rPr>
          <w:rFonts w:hint="eastAsia" w:ascii="仿宋" w:hAnsi="仿宋" w:eastAsia="仿宋" w:cs="仿宋"/>
          <w:sz w:val="32"/>
          <w:szCs w:val="32"/>
          <w:lang w:eastAsia="zh-CN"/>
        </w:rPr>
        <w:t>：依次规定投资决策咨询、勘察设计咨询、勘察设计、招标采购咨询、招标代理、工程监理、设备监理、造价咨询、数智化管理咨询、绿色建造咨询、新技术应用咨询、质量评价、项目后评价</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合规性手续申办咨询、运行维护咨询、第三方安全督查、安全生产标准化咨询、质量提升咨询、设计评审</w:t>
      </w:r>
      <w:r>
        <w:rPr>
          <w:rFonts w:hint="eastAsia" w:ascii="仿宋" w:hAnsi="仿宋" w:eastAsia="仿宋" w:cs="仿宋"/>
          <w:sz w:val="32"/>
          <w:szCs w:val="32"/>
          <w:lang w:val="en-US" w:eastAsia="zh-CN"/>
        </w:rPr>
        <w:t>及</w:t>
      </w:r>
      <w:r>
        <w:rPr>
          <w:rFonts w:hint="eastAsia" w:ascii="仿宋" w:hAnsi="仿宋" w:eastAsia="仿宋" w:cs="仿宋"/>
          <w:sz w:val="32"/>
          <w:szCs w:val="32"/>
          <w:lang w:eastAsia="zh-CN"/>
        </w:rPr>
        <w:t>ESG评价</w:t>
      </w:r>
      <w:r>
        <w:rPr>
          <w:rFonts w:hint="eastAsia" w:ascii="仿宋" w:hAnsi="仿宋" w:eastAsia="仿宋" w:cs="仿宋"/>
          <w:sz w:val="32"/>
          <w:szCs w:val="32"/>
          <w:lang w:val="en-US" w:eastAsia="zh-CN"/>
        </w:rPr>
        <w:t>等专项咨询服务，明确各专项咨询服务的一般规定和主要咨询工作。</w:t>
      </w:r>
    </w:p>
    <w:p w14:paraId="07BD5DF9">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附录A（规范性）光伏发电工程全过程工程咨询服务清单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w:t>
      </w:r>
      <w:r>
        <w:rPr>
          <w:rFonts w:hint="eastAsia" w:ascii="仿宋" w:hAnsi="仿宋" w:eastAsia="仿宋" w:cs="仿宋"/>
          <w:sz w:val="32"/>
          <w:szCs w:val="32"/>
        </w:rPr>
        <w:t>表格形式列明</w:t>
      </w:r>
      <w:r>
        <w:rPr>
          <w:rFonts w:hint="eastAsia" w:ascii="仿宋" w:hAnsi="仿宋" w:eastAsia="仿宋" w:cs="仿宋"/>
          <w:sz w:val="32"/>
          <w:szCs w:val="32"/>
          <w:lang w:val="en-US" w:eastAsia="zh-CN"/>
        </w:rPr>
        <w:t>各</w:t>
      </w:r>
      <w:r>
        <w:rPr>
          <w:rFonts w:hint="eastAsia" w:ascii="仿宋" w:hAnsi="仿宋" w:eastAsia="仿宋" w:cs="仿宋"/>
          <w:sz w:val="32"/>
          <w:szCs w:val="32"/>
        </w:rPr>
        <w:t>大类</w:t>
      </w:r>
      <w:r>
        <w:rPr>
          <w:rFonts w:hint="eastAsia" w:ascii="仿宋" w:hAnsi="仿宋" w:eastAsia="仿宋" w:cs="仿宋"/>
          <w:sz w:val="32"/>
          <w:szCs w:val="32"/>
          <w:lang w:val="en-US" w:eastAsia="zh-CN"/>
        </w:rPr>
        <w:t>咨询服务</w:t>
      </w:r>
      <w:r>
        <w:rPr>
          <w:rFonts w:hint="eastAsia" w:ascii="仿宋" w:hAnsi="仿宋" w:eastAsia="仿宋" w:cs="仿宋"/>
          <w:sz w:val="32"/>
          <w:szCs w:val="32"/>
        </w:rPr>
        <w:t>在各阶段核心咨询服务内容，</w:t>
      </w:r>
      <w:r>
        <w:rPr>
          <w:rFonts w:hint="eastAsia" w:ascii="仿宋" w:hAnsi="仿宋" w:eastAsia="仿宋" w:cs="仿宋"/>
          <w:sz w:val="32"/>
          <w:szCs w:val="32"/>
          <w:lang w:val="en-US" w:eastAsia="zh-CN"/>
        </w:rPr>
        <w:t>为工程实践提供参考</w:t>
      </w:r>
      <w:r>
        <w:rPr>
          <w:rFonts w:hint="eastAsia" w:ascii="仿宋" w:hAnsi="仿宋" w:eastAsia="仿宋" w:cs="仿宋"/>
          <w:sz w:val="32"/>
          <w:szCs w:val="32"/>
        </w:rPr>
        <w:t>。</w:t>
      </w:r>
    </w:p>
    <w:p w14:paraId="564379D5">
      <w:pPr>
        <w:numPr>
          <w:ilvl w:val="255"/>
          <w:numId w:val="0"/>
        </w:numPr>
        <w:ind w:firstLine="640" w:firstLineChars="200"/>
        <w:outlineLvl w:val="1"/>
        <w:rPr>
          <w:rFonts w:hint="eastAsia" w:ascii="仿宋" w:hAnsi="仿宋" w:eastAsia="仿宋" w:cs="仿宋"/>
          <w:sz w:val="32"/>
          <w:szCs w:val="32"/>
          <w:lang w:val="en-US" w:eastAsia="zh-CN"/>
        </w:rPr>
      </w:pPr>
      <w:bookmarkStart w:id="8" w:name="_Toc19726"/>
      <w:r>
        <w:rPr>
          <w:rFonts w:hint="eastAsia" w:ascii="仿宋" w:hAnsi="仿宋" w:eastAsia="仿宋" w:cs="仿宋"/>
          <w:sz w:val="32"/>
          <w:szCs w:val="32"/>
          <w:lang w:val="en-US" w:eastAsia="zh-CN"/>
        </w:rPr>
        <w:t>3.3编制依据</w:t>
      </w:r>
      <w:bookmarkEnd w:id="8"/>
    </w:p>
    <w:p w14:paraId="211C8B24">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标准主要内容的形成主要参考了以下方面的文献、标准及政策文件。</w:t>
      </w:r>
    </w:p>
    <w:p w14:paraId="35EAC810">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一是法律法规和政策文件方面，主要依据了《中华人民共和国标准化法》《建设工程质量管理条例》《国家发展改革委 住房城乡建设部关于推进全过程工程咨询服务发展的指导意见》，以及光伏发电工程合规性手续办理相关政策要求。</w:t>
      </w:r>
    </w:p>
    <w:p w14:paraId="73C23CA8">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二是国家标准和行业标准方面，参照了GB/T 50796《光伏发电工程验收规范》、GB 50794《光伏发电站施工规范》、GB/T 42766《光伏发电太阳能资源评估规范》、NB/T 11353《漂浮式光伏发电站施工规范》、DL/T 5434《电力建设工程监理规范》以及T/CEPCA1001《电力建设全过程工程咨询导则》系列团体标准等国家及行业标准。</w:t>
      </w:r>
    </w:p>
    <w:p w14:paraId="26690D4D">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是实践经验和行业规范方面，参考了国内大量陆上光伏、海上光伏全过程工程咨询项目案例，梳理建设单位的实际业务需求，重点把海上光伏项目合规手续纳入合规性手续申办咨询内容，经行业专家充分论证形成共识。</w:t>
      </w:r>
    </w:p>
    <w:p w14:paraId="59F20FD2">
      <w:pPr>
        <w:ind w:firstLine="643" w:firstLineChars="200"/>
        <w:outlineLvl w:val="0"/>
        <w:rPr>
          <w:rFonts w:hint="eastAsia" w:ascii="仿宋" w:hAnsi="仿宋" w:eastAsia="仿宋" w:cs="仿宋"/>
          <w:b/>
          <w:bCs/>
          <w:sz w:val="32"/>
          <w:szCs w:val="32"/>
          <w:lang w:val="en-US" w:eastAsia="zh-CN"/>
        </w:rPr>
      </w:pPr>
      <w:bookmarkStart w:id="9" w:name="_Toc14170"/>
      <w:r>
        <w:rPr>
          <w:rFonts w:hint="eastAsia" w:ascii="仿宋" w:hAnsi="仿宋" w:eastAsia="仿宋" w:cs="仿宋"/>
          <w:b/>
          <w:bCs/>
          <w:sz w:val="32"/>
          <w:szCs w:val="32"/>
          <w:lang w:val="en-US" w:eastAsia="zh-CN"/>
        </w:rPr>
        <w:t>4.与有关法律、行政法规及相关标准的关系</w:t>
      </w:r>
      <w:bookmarkEnd w:id="9"/>
    </w:p>
    <w:p w14:paraId="0E63C371">
      <w:pPr>
        <w:ind w:firstLine="640" w:firstLineChars="200"/>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标准严格遵循国家及行业强制性标准要求，与相关推荐性国家标准、行业标准协调衔接，不替代现有标准，形成对通用标准的专项补充与场景延伸。合规手续申办咨询部分，与《铺设海底电缆管道管理规定》、海域使用、海洋环评、林地草原使用、通航安全评估等法规制度保持一致。</w:t>
      </w:r>
    </w:p>
    <w:p w14:paraId="6DF91BDC">
      <w:pPr>
        <w:ind w:firstLine="640" w:firstLineChars="200"/>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本标准是 T/CEPCA 1001 系列导则的延续，与第 1、2 部分（输变电、火电）编制体例、总体框架保持协调统一，针对光伏发电工程特点做差异化补充。</w:t>
      </w:r>
    </w:p>
    <w:p w14:paraId="5D16DBA9">
      <w:pPr>
        <w:ind w:firstLine="643" w:firstLineChars="200"/>
        <w:outlineLvl w:val="0"/>
        <w:rPr>
          <w:rFonts w:hint="eastAsia" w:ascii="仿宋" w:hAnsi="仿宋" w:eastAsia="仿宋" w:cs="仿宋"/>
          <w:b/>
          <w:bCs/>
          <w:sz w:val="32"/>
          <w:szCs w:val="32"/>
        </w:rPr>
      </w:pPr>
      <w:bookmarkStart w:id="10" w:name="_Toc11518"/>
      <w:r>
        <w:rPr>
          <w:rFonts w:hint="eastAsia" w:ascii="仿宋" w:hAnsi="仿宋" w:eastAsia="仿宋" w:cs="仿宋"/>
          <w:b/>
          <w:bCs/>
          <w:sz w:val="32"/>
          <w:szCs w:val="32"/>
          <w:lang w:val="en-US" w:eastAsia="zh-CN"/>
        </w:rPr>
        <w:t>5.</w:t>
      </w:r>
      <w:r>
        <w:rPr>
          <w:rFonts w:hint="eastAsia" w:ascii="仿宋" w:hAnsi="仿宋" w:eastAsia="仿宋" w:cs="仿宋"/>
          <w:b/>
          <w:bCs/>
          <w:sz w:val="32"/>
          <w:szCs w:val="32"/>
        </w:rPr>
        <w:t>标准的先进性与特色性</w:t>
      </w:r>
      <w:bookmarkEnd w:id="10"/>
    </w:p>
    <w:p w14:paraId="5FB64CE7">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本标准的制定严格响应《中华人民共和国标准化法》第十三条要求，以技术先进为核心、经济合理为基础，兼顾良好的社会效益与生态效益，全方位体现标准的科学性、适用性与引领性。</w:t>
      </w:r>
    </w:p>
    <w:p w14:paraId="0D5EF85D">
      <w:pPr>
        <w:numPr>
          <w:ilvl w:val="255"/>
          <w:numId w:val="0"/>
        </w:numPr>
        <w:ind w:firstLine="640" w:firstLineChars="200"/>
        <w:outlineLvl w:val="1"/>
        <w:rPr>
          <w:rFonts w:hint="eastAsia" w:ascii="仿宋" w:hAnsi="仿宋" w:eastAsia="仿宋" w:cs="仿宋"/>
          <w:sz w:val="32"/>
          <w:szCs w:val="32"/>
          <w:lang w:val="en-US" w:eastAsia="zh-CN"/>
        </w:rPr>
      </w:pPr>
      <w:bookmarkStart w:id="11" w:name="_Toc6756"/>
      <w:r>
        <w:rPr>
          <w:rFonts w:hint="eastAsia" w:ascii="仿宋" w:hAnsi="仿宋" w:eastAsia="仿宋" w:cs="仿宋"/>
          <w:sz w:val="32"/>
          <w:szCs w:val="32"/>
          <w:lang w:val="en-US" w:eastAsia="zh-CN"/>
        </w:rPr>
        <w:t>5.1先进性体现</w:t>
      </w:r>
      <w:bookmarkEnd w:id="11"/>
    </w:p>
    <w:p w14:paraId="31825D87">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（1）首次完整构建光伏发电工程全生命周期全过程工程咨询的标准化业务体系，覆盖从立项前期直至项目后评价阶段的咨询工作。</w:t>
      </w:r>
    </w:p>
    <w:p w14:paraId="6F2AC303">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（2）纳入 ESG 评价、数智化管理咨询、绿色建造咨询、新技术应用咨询等当前新能源行业新兴咨询业务，响应双碳、新型电力系统建设需求。</w:t>
      </w:r>
    </w:p>
    <w:p w14:paraId="3D5D4E56">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（3）专门把海上光伏发电工程作为重点场景，系统纳入海域、海缆路由勘测、通航、渔业、海洋倾废、海工防腐等一系列海洋类专项咨询工作，填补海上光伏咨询业务标准空白。</w:t>
      </w:r>
    </w:p>
    <w:p w14:paraId="792FF4F2">
      <w:pPr>
        <w:numPr>
          <w:ilvl w:val="255"/>
          <w:numId w:val="0"/>
        </w:numPr>
        <w:ind w:firstLine="640" w:firstLineChars="200"/>
        <w:outlineLvl w:val="1"/>
        <w:rPr>
          <w:rFonts w:hint="eastAsia" w:ascii="仿宋" w:hAnsi="仿宋" w:eastAsia="仿宋" w:cs="仿宋"/>
          <w:sz w:val="32"/>
          <w:szCs w:val="32"/>
          <w:highlight w:val="none"/>
          <w:lang w:val="en-US" w:eastAsia="zh-CN"/>
        </w:rPr>
      </w:pPr>
      <w:bookmarkStart w:id="12" w:name="_Toc25455"/>
      <w:r>
        <w:rPr>
          <w:rFonts w:hint="eastAsia" w:ascii="仿宋" w:hAnsi="仿宋" w:eastAsia="仿宋" w:cs="仿宋"/>
          <w:sz w:val="32"/>
          <w:szCs w:val="32"/>
          <w:highlight w:val="none"/>
          <w:lang w:val="en-US" w:eastAsia="zh-CN"/>
        </w:rPr>
        <w:t>5.2经济合理</w:t>
      </w:r>
      <w:bookmarkEnd w:id="12"/>
    </w:p>
    <w:p w14:paraId="63154D29">
      <w:pPr>
        <w:numPr>
          <w:ilvl w:val="255"/>
          <w:numId w:val="0"/>
        </w:num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（1）统一咨询服务边界，减少建设单位与咨询单位之间的业务范围纠纷，降低合同谈判风险，减少项目因咨询工作缺项导致的工期延误。</w:t>
      </w:r>
    </w:p>
    <w:p w14:paraId="6D2BDEC2">
      <w:pPr>
        <w:numPr>
          <w:ilvl w:val="255"/>
          <w:numId w:val="0"/>
        </w:num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（2）引导咨询单位提升海上光伏等复杂场景的咨询能力，提升光伏项目前期决策科学性，降低投资、合规、生态环境风险。</w:t>
      </w:r>
    </w:p>
    <w:p w14:paraId="62E0D38E">
      <w:pPr>
        <w:numPr>
          <w:ilvl w:val="255"/>
          <w:numId w:val="0"/>
        </w:num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（3）推动 ESG评价、绿色建造、数字化咨询在光伏工程落地，助力新能源项目绿色低碳高质量建设，服务 “双碳” 目标实现。</w:t>
      </w:r>
    </w:p>
    <w:p w14:paraId="20AF82D3">
      <w:pPr>
        <w:numPr>
          <w:ilvl w:val="255"/>
          <w:numId w:val="0"/>
        </w:numPr>
        <w:ind w:firstLine="640" w:firstLineChars="200"/>
        <w:outlineLvl w:val="1"/>
        <w:rPr>
          <w:rFonts w:hint="eastAsia" w:ascii="仿宋" w:hAnsi="仿宋" w:eastAsia="仿宋" w:cs="仿宋"/>
          <w:sz w:val="32"/>
          <w:szCs w:val="32"/>
          <w:lang w:val="en-US" w:eastAsia="zh-CN"/>
        </w:rPr>
      </w:pPr>
      <w:bookmarkStart w:id="13" w:name="_Toc8200"/>
      <w:r>
        <w:rPr>
          <w:rFonts w:hint="eastAsia" w:ascii="仿宋" w:hAnsi="仿宋" w:eastAsia="仿宋" w:cs="仿宋"/>
          <w:sz w:val="32"/>
          <w:szCs w:val="32"/>
          <w:lang w:val="en-US" w:eastAsia="zh-CN"/>
        </w:rPr>
        <w:t>5.3特色性体现</w:t>
      </w:r>
      <w:bookmarkEnd w:id="13"/>
    </w:p>
    <w:p w14:paraId="03BB7492">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（1）多场景差异化管控：区分地面集中式、山地、农光牧光、渔光互补、海上光伏各类项目，针对不同场址的限制性因素，在项目管理、勘察设计咨询、合规手续咨询给出差异化咨询要点。</w:t>
      </w:r>
    </w:p>
    <w:p w14:paraId="1D4FC589">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业务分类完整：完整包含项目管理以及投资决策咨询、勘察设计咨询、招标采购咨询、招标代理、工程监理、设备监理、造价咨询、数智化管理、绿色建造、新技术应用、质量评价、项目后评价、合规手续申办、运行维护咨询、第三方安全督查、安全生产标准化、质量提升、设计评审、ESG 评价共18项专项咨询业务内容，匹配国内全过程咨询 “项目管理 + 若干专项咨询” 主流业务模式。</w:t>
      </w:r>
    </w:p>
    <w:p w14:paraId="73992083">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（3）强化合规手续咨询指引：系统梳理光伏项目从前期、建设、竣工各阶段行政许可手续对应的咨询协助工作内容，对海上光伏全套海洋类审批手续做明确。</w:t>
      </w:r>
    </w:p>
    <w:p w14:paraId="589D3E96">
      <w:pPr>
        <w:numPr>
          <w:ilvl w:val="-1"/>
          <w:numId w:val="0"/>
        </w:numPr>
        <w:ind w:firstLine="643" w:firstLineChars="200"/>
        <w:outlineLvl w:val="0"/>
        <w:rPr>
          <w:rFonts w:hint="eastAsia" w:ascii="仿宋" w:hAnsi="仿宋" w:eastAsia="仿宋" w:cs="仿宋"/>
          <w:b/>
          <w:bCs/>
          <w:sz w:val="32"/>
          <w:szCs w:val="32"/>
        </w:rPr>
      </w:pPr>
      <w:bookmarkStart w:id="14" w:name="_Toc186"/>
      <w:r>
        <w:rPr>
          <w:rFonts w:hint="eastAsia" w:ascii="仿宋" w:hAnsi="仿宋" w:eastAsia="仿宋" w:cs="仿宋"/>
          <w:b/>
          <w:bCs/>
          <w:sz w:val="32"/>
          <w:szCs w:val="32"/>
          <w:lang w:val="en-US" w:eastAsia="zh-CN"/>
        </w:rPr>
        <w:t>6.标</w:t>
      </w:r>
      <w:r>
        <w:rPr>
          <w:rFonts w:hint="eastAsia" w:ascii="仿宋" w:hAnsi="仿宋" w:eastAsia="仿宋" w:cs="仿宋"/>
          <w:b/>
          <w:bCs/>
          <w:sz w:val="32"/>
          <w:szCs w:val="32"/>
        </w:rPr>
        <w:t>准调研、研讨及征求意见情况</w:t>
      </w:r>
      <w:bookmarkEnd w:id="14"/>
    </w:p>
    <w:p w14:paraId="2AC49599">
      <w:pPr>
        <w:numPr>
          <w:ilvl w:val="255"/>
          <w:numId w:val="0"/>
        </w:numPr>
        <w:ind w:firstLine="640" w:firstLineChars="200"/>
        <w:outlineLvl w:val="1"/>
        <w:rPr>
          <w:rFonts w:hint="eastAsia" w:ascii="仿宋" w:hAnsi="仿宋" w:eastAsia="仿宋" w:cs="仿宋"/>
          <w:sz w:val="32"/>
          <w:szCs w:val="32"/>
        </w:rPr>
      </w:pPr>
      <w:bookmarkStart w:id="15" w:name="_Toc16926"/>
      <w:r>
        <w:rPr>
          <w:rFonts w:hint="eastAsia" w:ascii="仿宋" w:hAnsi="仿宋" w:eastAsia="仿宋" w:cs="仿宋"/>
          <w:sz w:val="32"/>
          <w:szCs w:val="32"/>
          <w:lang w:eastAsia="zh-CN"/>
        </w:rPr>
        <w:t>6</w:t>
      </w:r>
      <w:r>
        <w:rPr>
          <w:rFonts w:hint="eastAsia" w:ascii="仿宋" w:hAnsi="仿宋" w:eastAsia="仿宋" w:cs="仿宋"/>
          <w:sz w:val="32"/>
          <w:szCs w:val="32"/>
          <w:lang w:val="en-US" w:eastAsia="zh-CN"/>
        </w:rPr>
        <w:t>.1</w:t>
      </w:r>
      <w:r>
        <w:rPr>
          <w:rFonts w:hint="eastAsia" w:ascii="仿宋" w:hAnsi="仿宋" w:eastAsia="仿宋" w:cs="仿宋"/>
          <w:sz w:val="32"/>
          <w:szCs w:val="32"/>
        </w:rPr>
        <w:t>调研阶段</w:t>
      </w:r>
      <w:bookmarkEnd w:id="15"/>
    </w:p>
    <w:p w14:paraId="323FCBAB">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月，起草组通过实地走访、资料调研、定向访谈等方式，调研了</w:t>
      </w:r>
      <w:r>
        <w:rPr>
          <w:rFonts w:hint="eastAsia" w:ascii="仿宋" w:hAnsi="仿宋" w:eastAsia="仿宋" w:cs="仿宋"/>
          <w:sz w:val="32"/>
          <w:szCs w:val="32"/>
          <w:highlight w:val="none"/>
        </w:rPr>
        <w:t>国内各类光伏发电项目全过程工程咨询业务现状，收集</w:t>
      </w:r>
      <w:r>
        <w:rPr>
          <w:rFonts w:hint="eastAsia" w:ascii="仿宋" w:hAnsi="仿宋" w:eastAsia="仿宋" w:cs="仿宋"/>
          <w:sz w:val="32"/>
          <w:szCs w:val="32"/>
          <w:highlight w:val="none"/>
          <w:lang w:val="en-US" w:eastAsia="zh-CN"/>
        </w:rPr>
        <w:t>各项目的业务成果和建设</w:t>
      </w:r>
      <w:r>
        <w:rPr>
          <w:rFonts w:hint="eastAsia" w:ascii="仿宋" w:hAnsi="仿宋" w:eastAsia="仿宋" w:cs="仿宋"/>
          <w:sz w:val="32"/>
          <w:szCs w:val="32"/>
          <w:highlight w:val="none"/>
        </w:rPr>
        <w:t>单位的实际业务诉求</w:t>
      </w:r>
      <w:r>
        <w:rPr>
          <w:rFonts w:hint="eastAsia" w:ascii="仿宋" w:hAnsi="仿宋" w:eastAsia="仿宋" w:cs="仿宋"/>
          <w:sz w:val="32"/>
          <w:szCs w:val="32"/>
        </w:rPr>
        <w:t>，为本标准大纲框架设计、章节设置、业务内容确定奠定工程实践基础。</w:t>
      </w:r>
    </w:p>
    <w:p w14:paraId="4539E4C6">
      <w:pPr>
        <w:numPr>
          <w:ilvl w:val="255"/>
          <w:numId w:val="0"/>
        </w:numPr>
        <w:ind w:firstLine="640" w:firstLineChars="200"/>
        <w:outlineLvl w:val="1"/>
        <w:rPr>
          <w:rFonts w:hint="eastAsia" w:ascii="仿宋" w:hAnsi="仿宋" w:eastAsia="仿宋" w:cs="仿宋"/>
          <w:sz w:val="32"/>
          <w:szCs w:val="32"/>
        </w:rPr>
      </w:pPr>
      <w:bookmarkStart w:id="16" w:name="_Toc7862"/>
      <w:r>
        <w:rPr>
          <w:rFonts w:hint="eastAsia" w:ascii="仿宋" w:hAnsi="仿宋" w:eastAsia="仿宋" w:cs="仿宋"/>
          <w:sz w:val="32"/>
          <w:szCs w:val="32"/>
          <w:lang w:val="en-US" w:eastAsia="zh-CN"/>
        </w:rPr>
        <w:t>6.2</w:t>
      </w:r>
      <w:r>
        <w:rPr>
          <w:rFonts w:hint="eastAsia" w:ascii="仿宋" w:hAnsi="仿宋" w:eastAsia="仿宋" w:cs="仿宋"/>
          <w:sz w:val="32"/>
          <w:szCs w:val="32"/>
        </w:rPr>
        <w:t>研讨阶段</w:t>
      </w:r>
      <w:bookmarkEnd w:id="16"/>
    </w:p>
    <w:p w14:paraId="5675A341">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月与</w:t>
      </w:r>
      <w:r>
        <w:rPr>
          <w:rFonts w:hint="eastAsia" w:ascii="仿宋" w:hAnsi="仿宋" w:eastAsia="仿宋" w:cs="仿宋"/>
          <w:sz w:val="32"/>
          <w:szCs w:val="32"/>
          <w:lang w:val="en-US" w:eastAsia="zh-CN"/>
        </w:rPr>
        <w:t>2026年8</w:t>
      </w:r>
      <w:r>
        <w:rPr>
          <w:rFonts w:hint="eastAsia" w:ascii="仿宋" w:hAnsi="仿宋" w:eastAsia="仿宋" w:cs="仿宋"/>
          <w:sz w:val="32"/>
          <w:szCs w:val="32"/>
        </w:rPr>
        <w:t>月，起草组先后组织多轮内部及行业专家研讨会，邀请建设、咨询、监理、设计等领域多位行业专家参会，围绕标准整体框架、各专项咨询工作内容、附录服务清单表格设计等核心内容开展深入论证，达成一致意见后优化形成标准征求意见稿。</w:t>
      </w:r>
    </w:p>
    <w:p w14:paraId="57E613E7">
      <w:pPr>
        <w:numPr>
          <w:ilvl w:val="255"/>
          <w:numId w:val="0"/>
        </w:numPr>
        <w:ind w:firstLine="640" w:firstLineChars="200"/>
        <w:outlineLvl w:val="1"/>
        <w:rPr>
          <w:rFonts w:hint="eastAsia" w:ascii="仿宋" w:hAnsi="仿宋" w:eastAsia="仿宋" w:cs="仿宋"/>
          <w:sz w:val="32"/>
          <w:szCs w:val="32"/>
        </w:rPr>
      </w:pPr>
      <w:bookmarkStart w:id="17" w:name="_Toc1296"/>
      <w:r>
        <w:rPr>
          <w:rFonts w:hint="eastAsia" w:ascii="仿宋" w:hAnsi="仿宋" w:eastAsia="仿宋" w:cs="仿宋"/>
          <w:sz w:val="32"/>
          <w:szCs w:val="32"/>
          <w:lang w:val="en-US" w:eastAsia="zh-CN"/>
        </w:rPr>
        <w:t>6.3</w:t>
      </w:r>
      <w:r>
        <w:rPr>
          <w:rFonts w:hint="eastAsia" w:ascii="仿宋" w:hAnsi="仿宋" w:eastAsia="仿宋" w:cs="仿宋"/>
          <w:sz w:val="32"/>
          <w:szCs w:val="32"/>
        </w:rPr>
        <w:t>征求意见阶段</w:t>
      </w:r>
      <w:bookmarkEnd w:id="17"/>
    </w:p>
    <w:p w14:paraId="26F8BE8D">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本稿为标准征求意见稿，拟通过中国电力建设企业协会官方渠道、定向发函等方式，面向全行业会员单位、工程建设相关单位公开征求意见，征求周期不少于30天。对回收的意见建议，起草组将逐一分析论证，按“采纳、部分采纳、不采纳”分类处置，形成意见处理汇总表，对标准文本进行优化完善；对不予采纳的意见，将向提出单位说明理由并留存记录。</w:t>
      </w:r>
    </w:p>
    <w:p w14:paraId="1D1A84D7">
      <w:pPr>
        <w:numPr>
          <w:ilvl w:val="-1"/>
          <w:numId w:val="0"/>
        </w:numPr>
        <w:ind w:firstLine="643" w:firstLineChars="200"/>
        <w:outlineLvl w:val="0"/>
        <w:rPr>
          <w:rFonts w:hint="eastAsia" w:ascii="仿宋" w:hAnsi="仿宋" w:eastAsia="仿宋" w:cs="仿宋"/>
          <w:b/>
          <w:bCs/>
          <w:sz w:val="32"/>
          <w:szCs w:val="32"/>
        </w:rPr>
      </w:pPr>
      <w:bookmarkStart w:id="18" w:name="_Toc590"/>
      <w:r>
        <w:rPr>
          <w:rFonts w:hint="eastAsia" w:ascii="仿宋" w:hAnsi="仿宋" w:eastAsia="仿宋" w:cs="仿宋"/>
          <w:b/>
          <w:bCs/>
          <w:sz w:val="32"/>
          <w:szCs w:val="32"/>
          <w:lang w:val="en-US" w:eastAsia="zh-CN"/>
        </w:rPr>
        <w:t>7.</w:t>
      </w:r>
      <w:r>
        <w:rPr>
          <w:rFonts w:hint="eastAsia" w:ascii="仿宋" w:hAnsi="仿宋" w:eastAsia="仿宋" w:cs="仿宋"/>
          <w:b/>
          <w:bCs/>
          <w:sz w:val="32"/>
          <w:szCs w:val="32"/>
        </w:rPr>
        <w:t>技术指标设置的科学性与可行性</w:t>
      </w:r>
      <w:bookmarkEnd w:id="18"/>
    </w:p>
    <w:p w14:paraId="7D113155">
      <w:pPr>
        <w:numPr>
          <w:ilvl w:val="255"/>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本标准聚焦全过程工程咨询的工作流程、业务内容、人员职责、成果要求、管控要点，不规定光伏工程设备、实体工程的工艺、性能、检测类硬性技术指标，实体工程的各类技术指标</w:t>
      </w:r>
      <w:r>
        <w:rPr>
          <w:rFonts w:hint="eastAsia" w:ascii="仿宋" w:hAnsi="仿宋" w:eastAsia="仿宋" w:cs="仿宋"/>
          <w:sz w:val="32"/>
          <w:szCs w:val="32"/>
          <w:lang w:val="en-US" w:eastAsia="zh-CN"/>
        </w:rPr>
        <w:t>按</w:t>
      </w:r>
      <w:r>
        <w:rPr>
          <w:rFonts w:hint="eastAsia" w:ascii="仿宋" w:hAnsi="仿宋" w:eastAsia="仿宋" w:cs="仿宋"/>
          <w:sz w:val="32"/>
          <w:szCs w:val="32"/>
        </w:rPr>
        <w:t>GB、NB、DL 等国家、行业现行工程技术标准执行。</w:t>
      </w:r>
    </w:p>
    <w:p w14:paraId="41B3488D">
      <w:pPr>
        <w:ind w:firstLine="643" w:firstLineChars="200"/>
        <w:outlineLvl w:val="0"/>
        <w:rPr>
          <w:rFonts w:hint="eastAsia" w:ascii="仿宋" w:hAnsi="仿宋" w:eastAsia="仿宋" w:cs="仿宋"/>
          <w:b/>
          <w:bCs/>
          <w:color w:val="00B0F0"/>
          <w:sz w:val="32"/>
          <w:szCs w:val="32"/>
        </w:rPr>
      </w:pPr>
      <w:bookmarkStart w:id="19" w:name="_Toc19360"/>
      <w:r>
        <w:rPr>
          <w:rFonts w:hint="eastAsia" w:ascii="仿宋" w:hAnsi="仿宋" w:eastAsia="仿宋" w:cs="仿宋"/>
          <w:b/>
          <w:bCs/>
          <w:sz w:val="32"/>
          <w:szCs w:val="32"/>
          <w:lang w:val="en-US" w:eastAsia="zh-CN"/>
        </w:rPr>
        <w:t>8</w:t>
      </w:r>
      <w:r>
        <w:rPr>
          <w:rFonts w:hint="eastAsia" w:ascii="仿宋" w:hAnsi="仿宋" w:eastAsia="仿宋" w:cs="仿宋"/>
          <w:b/>
          <w:bCs/>
          <w:sz w:val="32"/>
          <w:szCs w:val="32"/>
        </w:rPr>
        <w:t>.与国内外同类标准对比及采标情况</w:t>
      </w:r>
      <w:bookmarkEnd w:id="19"/>
    </w:p>
    <w:p w14:paraId="27D0F98D">
      <w:pPr>
        <w:keepNext w:val="0"/>
        <w:keepLines w:val="0"/>
        <w:widowControl/>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left"/>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本标准以国内现行国家、电力、新能源行业、团体标准为主要基础开展起草，合规引用光伏发电勘察设计、施工、验收、监理、绿色建造、ESG 评价等方面相关标准，保持与 T/CEPCA 1001 系列导则体例协调一致，确保本标准与国内现有工程建设、新能源咨询标准体系相衔接、相协调。</w:t>
      </w:r>
    </w:p>
    <w:p w14:paraId="5240E5E8">
      <w:pPr>
        <w:keepNext w:val="0"/>
        <w:keepLines w:val="0"/>
        <w:widowControl/>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left"/>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对于国际相关标准，国外暂无完整覆盖光伏发电工程全生命周期的全过程工程咨询成套标准，国外相关文件多为市场化企业指南，国内外在工程建设管理体制、行政审批制度、项目委托模式等方面存在较大差异，国际相关文件难以适配我国光伏工程全过程咨询业务实际需求，因此本标准未等同或修改采用国际标准。</w:t>
      </w:r>
    </w:p>
    <w:p w14:paraId="57BD7BAC">
      <w:pPr>
        <w:keepNext w:val="0"/>
        <w:keepLines w:val="0"/>
        <w:widowControl/>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left"/>
        <w:rPr>
          <w:rFonts w:hint="eastAsia" w:ascii="仿宋" w:hAnsi="仿宋" w:eastAsia="仿宋" w:cs="仿宋"/>
          <w:sz w:val="32"/>
          <w:szCs w:val="32"/>
        </w:rPr>
      </w:pPr>
      <w:r>
        <w:rPr>
          <w:rFonts w:hint="eastAsia" w:ascii="仿宋" w:hAnsi="仿宋" w:eastAsia="仿宋" w:cs="仿宋"/>
          <w:kern w:val="2"/>
          <w:sz w:val="32"/>
          <w:szCs w:val="32"/>
          <w:lang w:val="en-US" w:eastAsia="zh-CN" w:bidi="ar"/>
        </w:rPr>
        <w:t>对于国内非光伏行业的通用工程咨询标准，因其缺少山地、农光、渔光互补、BIPV、海上光伏等场景的针对性咨询要求，本标准仅在通用咨询管理原则方面予以参考，未直接照搬套用，重点结合光伏发电场用海用地约束复杂、新兴业务多的行业特点进行定制化编制，保证标准内容贴合光伏发电工程咨询行业实际业务特点。</w:t>
      </w:r>
    </w:p>
    <w:p w14:paraId="305620DD">
      <w:pPr>
        <w:ind w:firstLine="643" w:firstLineChars="200"/>
        <w:outlineLvl w:val="0"/>
        <w:rPr>
          <w:rFonts w:hint="eastAsia" w:ascii="仿宋" w:hAnsi="仿宋" w:eastAsia="仿宋" w:cs="仿宋"/>
          <w:b/>
          <w:bCs/>
          <w:sz w:val="32"/>
          <w:szCs w:val="32"/>
        </w:rPr>
      </w:pPr>
      <w:bookmarkStart w:id="20" w:name="_Toc30389"/>
      <w:r>
        <w:rPr>
          <w:rFonts w:hint="eastAsia" w:ascii="仿宋" w:hAnsi="仿宋" w:eastAsia="仿宋" w:cs="仿宋"/>
          <w:b/>
          <w:bCs/>
          <w:sz w:val="32"/>
          <w:szCs w:val="32"/>
          <w:lang w:val="en-US" w:eastAsia="zh-CN"/>
        </w:rPr>
        <w:t>9.</w:t>
      </w:r>
      <w:r>
        <w:rPr>
          <w:rFonts w:hint="eastAsia" w:ascii="仿宋" w:hAnsi="仿宋" w:eastAsia="仿宋" w:cs="仿宋"/>
          <w:b/>
          <w:bCs/>
          <w:sz w:val="32"/>
          <w:szCs w:val="32"/>
        </w:rPr>
        <w:t>涉及专利的有关说明</w:t>
      </w:r>
      <w:bookmarkEnd w:id="20"/>
    </w:p>
    <w:p w14:paraId="787FAAC8">
      <w:pPr>
        <w:numPr>
          <w:ilvl w:val="255"/>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标准制定过程中，项目组通过多渠道全面检索和分析了国内外相关专利。截至发布之日，未发现标准技术内容涉及任何有效专利。因此在说明中明确宣告:“本标准不涉及任何专利内容”。</w:t>
      </w:r>
    </w:p>
    <w:p w14:paraId="40931F5F">
      <w:pPr>
        <w:ind w:firstLine="643" w:firstLineChars="200"/>
        <w:outlineLvl w:val="0"/>
        <w:rPr>
          <w:rFonts w:hint="eastAsia" w:ascii="仿宋" w:hAnsi="仿宋" w:eastAsia="仿宋" w:cs="仿宋"/>
          <w:sz w:val="32"/>
          <w:szCs w:val="32"/>
        </w:rPr>
      </w:pPr>
      <w:bookmarkStart w:id="21" w:name="_Toc16842"/>
      <w:r>
        <w:rPr>
          <w:rFonts w:hint="eastAsia" w:ascii="仿宋" w:hAnsi="仿宋" w:eastAsia="仿宋" w:cs="仿宋"/>
          <w:b/>
          <w:bCs/>
          <w:sz w:val="32"/>
          <w:szCs w:val="32"/>
          <w:lang w:val="en-US" w:eastAsia="zh-CN"/>
        </w:rPr>
        <w:t>10.其他应当说明的事项</w:t>
      </w:r>
      <w:bookmarkEnd w:id="21"/>
    </w:p>
    <w:p w14:paraId="04469605">
      <w:pPr>
        <w:numPr>
          <w:ilvl w:val="255"/>
          <w:numId w:val="0"/>
        </w:numPr>
        <w:ind w:firstLine="640" w:firstLineChars="200"/>
        <w:rPr>
          <w:rFonts w:hint="default" w:ascii="仿宋_GB2312" w:hAnsi="仿宋_GB2312" w:eastAsia="仿宋_GB2312" w:cs="仿宋_GB2312"/>
          <w:sz w:val="32"/>
          <w:szCs w:val="32"/>
        </w:rPr>
      </w:pPr>
      <w:r>
        <w:rPr>
          <w:rFonts w:hint="eastAsia" w:ascii="仿宋" w:hAnsi="仿宋" w:eastAsia="仿宋" w:cs="仿宋"/>
          <w:sz w:val="32"/>
          <w:szCs w:val="32"/>
        </w:rPr>
        <w:t>本标准编制严格遵循团体标准管理规定</w:t>
      </w:r>
      <w:r>
        <w:rPr>
          <w:rFonts w:hint="eastAsia" w:ascii="仿宋" w:hAnsi="仿宋" w:eastAsia="仿宋" w:cs="仿宋"/>
          <w:sz w:val="32"/>
          <w:szCs w:val="32"/>
          <w:lang w:eastAsia="zh-CN"/>
        </w:rPr>
        <w:t>，</w:t>
      </w:r>
      <w:r>
        <w:rPr>
          <w:rFonts w:hint="eastAsia" w:ascii="仿宋" w:hAnsi="仿宋" w:eastAsia="仿宋" w:cs="仿宋"/>
          <w:sz w:val="32"/>
          <w:szCs w:val="32"/>
        </w:rPr>
        <w:t>主编、参编单位及起草人无变更</w:t>
      </w:r>
      <w:r>
        <w:rPr>
          <w:rFonts w:hint="eastAsia" w:ascii="仿宋" w:hAnsi="仿宋" w:eastAsia="仿宋" w:cs="仿宋"/>
          <w:sz w:val="32"/>
          <w:szCs w:val="32"/>
          <w:lang w:eastAsia="zh-CN"/>
        </w:rPr>
        <w:t>，</w:t>
      </w:r>
      <w:r>
        <w:rPr>
          <w:rFonts w:hint="eastAsia" w:ascii="仿宋" w:hAnsi="仿宋" w:eastAsia="仿宋" w:cs="仿宋"/>
          <w:sz w:val="32"/>
          <w:szCs w:val="32"/>
        </w:rPr>
        <w:t>标准内容无其他特殊说明。</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C15BE5-06AD-4E99-960E-0C7A7ACE45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9EA47C19-EA49-4145-8E8B-FFFBA6895948}"/>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E-BZ">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ZSSK--GBK1-0">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embedRegular r:id="rId3" w:fontKey="{E4801023-9D0C-4953-AFA6-180889CD72E5}"/>
  </w:font>
  <w:font w:name="仿宋_GB2312">
    <w:panose1 w:val="02010609030101010101"/>
    <w:charset w:val="86"/>
    <w:family w:val="modern"/>
    <w:pitch w:val="default"/>
    <w:sig w:usb0="00000001" w:usb1="080E0000" w:usb2="00000000" w:usb3="00000000" w:csb0="00040000" w:csb1="00000000"/>
    <w:embedRegular r:id="rId4" w:fontKey="{CC5DD56B-AAFD-4284-B906-87619A4452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CF48D">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A1CDA">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EA1CDA">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pStyle w:val="36"/>
      <w:suff w:val="nothing"/>
      <w:lvlText w:val="%1%2.%3　"/>
      <w:lvlJc w:val="left"/>
      <w:pPr>
        <w:ind w:left="0" w:firstLine="0"/>
      </w:pPr>
      <w:rPr>
        <w:rFonts w:hint="default" w:ascii="宋体" w:hAnsi="宋体" w:eastAsia="宋体" w:cs="宋体"/>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default" w:ascii="宋体" w:hAnsi="宋体" w:eastAsia="宋体" w:cs="宋体"/>
        <w:b w:val="0"/>
        <w:i w:val="0"/>
        <w:sz w:val="21"/>
      </w:rPr>
    </w:lvl>
    <w:lvl w:ilvl="4" w:tentative="0">
      <w:start w:val="1"/>
      <w:numFmt w:val="decimal"/>
      <w:suff w:val="nothing"/>
      <w:lvlText w:val="%1%2.%3.%4.%5　"/>
      <w:lvlJc w:val="left"/>
      <w:pPr>
        <w:ind w:left="0" w:firstLine="0"/>
      </w:pPr>
      <w:rPr>
        <w:rFonts w:hint="default" w:ascii="宋体" w:hAnsi="宋体" w:eastAsia="宋体" w:cs="宋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1D4206"/>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2766859"/>
    <w:rsid w:val="04142E23"/>
    <w:rsid w:val="064029FC"/>
    <w:rsid w:val="07041C7C"/>
    <w:rsid w:val="071F0864"/>
    <w:rsid w:val="07D238CA"/>
    <w:rsid w:val="08FD6983"/>
    <w:rsid w:val="094E3682"/>
    <w:rsid w:val="0955045F"/>
    <w:rsid w:val="0BC65752"/>
    <w:rsid w:val="0CEE6D0E"/>
    <w:rsid w:val="0D132C19"/>
    <w:rsid w:val="0D8713A0"/>
    <w:rsid w:val="0D9569E1"/>
    <w:rsid w:val="0F5A3229"/>
    <w:rsid w:val="0FBF0E36"/>
    <w:rsid w:val="0FE9386A"/>
    <w:rsid w:val="0FF26B15"/>
    <w:rsid w:val="0FFF7484"/>
    <w:rsid w:val="120E7E53"/>
    <w:rsid w:val="12260CF8"/>
    <w:rsid w:val="12593627"/>
    <w:rsid w:val="13D80718"/>
    <w:rsid w:val="142D3CA5"/>
    <w:rsid w:val="144933C4"/>
    <w:rsid w:val="14C34F24"/>
    <w:rsid w:val="14D07641"/>
    <w:rsid w:val="14D26F15"/>
    <w:rsid w:val="15075231"/>
    <w:rsid w:val="1573694A"/>
    <w:rsid w:val="15916DD0"/>
    <w:rsid w:val="15993A76"/>
    <w:rsid w:val="16E16D46"/>
    <w:rsid w:val="17575DF8"/>
    <w:rsid w:val="1896773C"/>
    <w:rsid w:val="18B35F28"/>
    <w:rsid w:val="191F5723"/>
    <w:rsid w:val="193463F1"/>
    <w:rsid w:val="1A93205A"/>
    <w:rsid w:val="1B0B4F2F"/>
    <w:rsid w:val="1C163B8C"/>
    <w:rsid w:val="1CED6FE2"/>
    <w:rsid w:val="1E256308"/>
    <w:rsid w:val="1E927D7E"/>
    <w:rsid w:val="1EE47F71"/>
    <w:rsid w:val="1FCC231E"/>
    <w:rsid w:val="200C3C23"/>
    <w:rsid w:val="204607B7"/>
    <w:rsid w:val="213571AA"/>
    <w:rsid w:val="2164183D"/>
    <w:rsid w:val="221943D6"/>
    <w:rsid w:val="22432B4E"/>
    <w:rsid w:val="230E380E"/>
    <w:rsid w:val="235B5B93"/>
    <w:rsid w:val="23654DD1"/>
    <w:rsid w:val="23957A8C"/>
    <w:rsid w:val="23B720F8"/>
    <w:rsid w:val="23C12F77"/>
    <w:rsid w:val="2403362A"/>
    <w:rsid w:val="257F0C4E"/>
    <w:rsid w:val="258B4548"/>
    <w:rsid w:val="260B672B"/>
    <w:rsid w:val="26B648E9"/>
    <w:rsid w:val="26DB434F"/>
    <w:rsid w:val="27194E78"/>
    <w:rsid w:val="27D36DD5"/>
    <w:rsid w:val="2835183D"/>
    <w:rsid w:val="28B430AA"/>
    <w:rsid w:val="28FC48AF"/>
    <w:rsid w:val="294D2BB7"/>
    <w:rsid w:val="297A3E18"/>
    <w:rsid w:val="2A3224D8"/>
    <w:rsid w:val="2A41271B"/>
    <w:rsid w:val="2A4D0323"/>
    <w:rsid w:val="2A805C7D"/>
    <w:rsid w:val="2BB86A0D"/>
    <w:rsid w:val="2BC058C2"/>
    <w:rsid w:val="2C0927B9"/>
    <w:rsid w:val="2CE101E6"/>
    <w:rsid w:val="2D90125B"/>
    <w:rsid w:val="2E156399"/>
    <w:rsid w:val="2ED11DB6"/>
    <w:rsid w:val="2EE6563F"/>
    <w:rsid w:val="30093CDB"/>
    <w:rsid w:val="30110DE2"/>
    <w:rsid w:val="30F46739"/>
    <w:rsid w:val="3126266B"/>
    <w:rsid w:val="317B29B7"/>
    <w:rsid w:val="31B9528D"/>
    <w:rsid w:val="31D10829"/>
    <w:rsid w:val="32316565"/>
    <w:rsid w:val="32586854"/>
    <w:rsid w:val="326A47D9"/>
    <w:rsid w:val="326C2300"/>
    <w:rsid w:val="32D63C1D"/>
    <w:rsid w:val="33022C64"/>
    <w:rsid w:val="339A10EE"/>
    <w:rsid w:val="33FA1368"/>
    <w:rsid w:val="37531CE0"/>
    <w:rsid w:val="37D03331"/>
    <w:rsid w:val="38595180"/>
    <w:rsid w:val="385B709E"/>
    <w:rsid w:val="388151F4"/>
    <w:rsid w:val="39160DB7"/>
    <w:rsid w:val="394C69E7"/>
    <w:rsid w:val="3B0B4EDD"/>
    <w:rsid w:val="3C456A27"/>
    <w:rsid w:val="3C5A58BF"/>
    <w:rsid w:val="3D127F47"/>
    <w:rsid w:val="3DBF3A9D"/>
    <w:rsid w:val="3E171CB9"/>
    <w:rsid w:val="3E965F19"/>
    <w:rsid w:val="3F676329"/>
    <w:rsid w:val="3FA24034"/>
    <w:rsid w:val="3FDB17EE"/>
    <w:rsid w:val="41412BA9"/>
    <w:rsid w:val="41727207"/>
    <w:rsid w:val="433D6BDD"/>
    <w:rsid w:val="43AA0EDA"/>
    <w:rsid w:val="44380293"/>
    <w:rsid w:val="44775260"/>
    <w:rsid w:val="45E958C2"/>
    <w:rsid w:val="46625A9C"/>
    <w:rsid w:val="469C74C5"/>
    <w:rsid w:val="48142DC6"/>
    <w:rsid w:val="48CE11C6"/>
    <w:rsid w:val="48F873C3"/>
    <w:rsid w:val="495E03EC"/>
    <w:rsid w:val="4A140E14"/>
    <w:rsid w:val="4A1B043B"/>
    <w:rsid w:val="4A282B58"/>
    <w:rsid w:val="4A83494B"/>
    <w:rsid w:val="4AEE5B50"/>
    <w:rsid w:val="4B4340EE"/>
    <w:rsid w:val="4B555BCF"/>
    <w:rsid w:val="4BC66D8F"/>
    <w:rsid w:val="4CDB0356"/>
    <w:rsid w:val="4DB12E65"/>
    <w:rsid w:val="4E115480"/>
    <w:rsid w:val="4E7B76FB"/>
    <w:rsid w:val="4ED25642"/>
    <w:rsid w:val="4F416B96"/>
    <w:rsid w:val="4FEC63D6"/>
    <w:rsid w:val="50A3118B"/>
    <w:rsid w:val="50B769E4"/>
    <w:rsid w:val="50C51101"/>
    <w:rsid w:val="50E61077"/>
    <w:rsid w:val="511916B3"/>
    <w:rsid w:val="516A3A56"/>
    <w:rsid w:val="52974D1F"/>
    <w:rsid w:val="52A80CDA"/>
    <w:rsid w:val="535B75CD"/>
    <w:rsid w:val="53F65621"/>
    <w:rsid w:val="53F73CC7"/>
    <w:rsid w:val="544B4013"/>
    <w:rsid w:val="544B7BAF"/>
    <w:rsid w:val="55AD6B1D"/>
    <w:rsid w:val="55EE2EA8"/>
    <w:rsid w:val="561072C2"/>
    <w:rsid w:val="564C5FB4"/>
    <w:rsid w:val="56A65531"/>
    <w:rsid w:val="56B440F1"/>
    <w:rsid w:val="56D848CE"/>
    <w:rsid w:val="56DF518E"/>
    <w:rsid w:val="57805D82"/>
    <w:rsid w:val="57976078"/>
    <w:rsid w:val="58044C05"/>
    <w:rsid w:val="585D074D"/>
    <w:rsid w:val="58615BB3"/>
    <w:rsid w:val="58E97957"/>
    <w:rsid w:val="58F72073"/>
    <w:rsid w:val="590B3D71"/>
    <w:rsid w:val="5921524A"/>
    <w:rsid w:val="596D2336"/>
    <w:rsid w:val="5A184997"/>
    <w:rsid w:val="5A4968FF"/>
    <w:rsid w:val="5AA004E9"/>
    <w:rsid w:val="5B841BB9"/>
    <w:rsid w:val="5C813644"/>
    <w:rsid w:val="5DD554A7"/>
    <w:rsid w:val="5E6F08FE"/>
    <w:rsid w:val="5E6F4DA2"/>
    <w:rsid w:val="5E9A37EC"/>
    <w:rsid w:val="5E9B16F3"/>
    <w:rsid w:val="5EAB402C"/>
    <w:rsid w:val="5EE543DC"/>
    <w:rsid w:val="5F0955FB"/>
    <w:rsid w:val="5FEB66AA"/>
    <w:rsid w:val="60275934"/>
    <w:rsid w:val="60716BAF"/>
    <w:rsid w:val="60D96503"/>
    <w:rsid w:val="61774699"/>
    <w:rsid w:val="620036D7"/>
    <w:rsid w:val="62C05BCC"/>
    <w:rsid w:val="634467FD"/>
    <w:rsid w:val="63A4104A"/>
    <w:rsid w:val="63AE1EC8"/>
    <w:rsid w:val="63FE2D80"/>
    <w:rsid w:val="64713622"/>
    <w:rsid w:val="64C5396E"/>
    <w:rsid w:val="657E1D96"/>
    <w:rsid w:val="661204ED"/>
    <w:rsid w:val="66C2220F"/>
    <w:rsid w:val="66F70DFE"/>
    <w:rsid w:val="67087B42"/>
    <w:rsid w:val="67AD0D27"/>
    <w:rsid w:val="67D0240D"/>
    <w:rsid w:val="690F71C7"/>
    <w:rsid w:val="69EC72A7"/>
    <w:rsid w:val="6A113E14"/>
    <w:rsid w:val="6A3327E0"/>
    <w:rsid w:val="6A714E92"/>
    <w:rsid w:val="6AC470BB"/>
    <w:rsid w:val="6AFE4BC5"/>
    <w:rsid w:val="6B297183"/>
    <w:rsid w:val="6B673A76"/>
    <w:rsid w:val="6C9205D9"/>
    <w:rsid w:val="6D0A4613"/>
    <w:rsid w:val="6D4944AD"/>
    <w:rsid w:val="6D501733"/>
    <w:rsid w:val="6D5B09CB"/>
    <w:rsid w:val="6D761CA9"/>
    <w:rsid w:val="6D9E2FAE"/>
    <w:rsid w:val="6DFB3F5C"/>
    <w:rsid w:val="6E5B49FB"/>
    <w:rsid w:val="6EF56BFD"/>
    <w:rsid w:val="6F1654F2"/>
    <w:rsid w:val="6F6E431D"/>
    <w:rsid w:val="6F8710DE"/>
    <w:rsid w:val="6FBB7E47"/>
    <w:rsid w:val="706C2EEF"/>
    <w:rsid w:val="725473E3"/>
    <w:rsid w:val="72DF3E4C"/>
    <w:rsid w:val="73CD639B"/>
    <w:rsid w:val="746A1E3C"/>
    <w:rsid w:val="75BA46FD"/>
    <w:rsid w:val="779C40BA"/>
    <w:rsid w:val="77DA2E34"/>
    <w:rsid w:val="782A5B6A"/>
    <w:rsid w:val="787768D5"/>
    <w:rsid w:val="78A3770E"/>
    <w:rsid w:val="78D87374"/>
    <w:rsid w:val="79101DAE"/>
    <w:rsid w:val="79E41D48"/>
    <w:rsid w:val="7A9750AD"/>
    <w:rsid w:val="7AD85D51"/>
    <w:rsid w:val="7BA75723"/>
    <w:rsid w:val="7BD5403F"/>
    <w:rsid w:val="7C501917"/>
    <w:rsid w:val="7CD673E6"/>
    <w:rsid w:val="7D943A85"/>
    <w:rsid w:val="7DAC5273"/>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99"/>
  </w:style>
  <w:style w:type="paragraph" w:styleId="7">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8">
    <w:name w:val="toc 3"/>
    <w:basedOn w:val="1"/>
    <w:next w:val="1"/>
    <w:qFormat/>
    <w:uiPriority w:val="0"/>
    <w:pPr>
      <w:ind w:left="840" w:leftChars="400"/>
    </w:pPr>
  </w:style>
  <w:style w:type="paragraph" w:styleId="9">
    <w:name w:val="footer"/>
    <w:basedOn w:val="1"/>
    <w:link w:val="33"/>
    <w:qFormat/>
    <w:uiPriority w:val="0"/>
    <w:pPr>
      <w:tabs>
        <w:tab w:val="center" w:pos="4153"/>
        <w:tab w:val="right" w:pos="8306"/>
      </w:tabs>
      <w:snapToGrid w:val="0"/>
      <w:jc w:val="left"/>
    </w:pPr>
    <w:rPr>
      <w:sz w:val="18"/>
      <w:szCs w:val="18"/>
    </w:rPr>
  </w:style>
  <w:style w:type="paragraph" w:styleId="10">
    <w:name w:val="header"/>
    <w:basedOn w:val="1"/>
    <w:link w:val="32"/>
    <w:qFormat/>
    <w:uiPriority w:val="0"/>
    <w:pP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qFormat/>
    <w:uiPriority w:val="0"/>
    <w:pPr>
      <w:spacing w:before="240" w:after="60"/>
      <w:jc w:val="center"/>
      <w:outlineLvl w:val="0"/>
    </w:pPr>
    <w:rPr>
      <w:rFonts w:ascii="Arial" w:hAnsi="Arial"/>
      <w:b/>
      <w:sz w:val="32"/>
    </w:rPr>
  </w:style>
  <w:style w:type="character" w:styleId="17">
    <w:name w:val="Strong"/>
    <w:basedOn w:val="16"/>
    <w:qFormat/>
    <w:uiPriority w:val="0"/>
    <w:rPr>
      <w:b/>
    </w:rPr>
  </w:style>
  <w:style w:type="paragraph" w:customStyle="1" w:styleId="18">
    <w:name w:val="标题1"/>
    <w:basedOn w:val="2"/>
    <w:qFormat/>
    <w:uiPriority w:val="0"/>
    <w:rPr>
      <w:rFonts w:hint="eastAsia" w:ascii="黑体" w:hAnsi="黑体" w:eastAsia="黑体" w:cs="黑体"/>
      <w:kern w:val="2"/>
      <w:sz w:val="32"/>
      <w:szCs w:val="32"/>
    </w:rPr>
  </w:style>
  <w:style w:type="paragraph" w:customStyle="1" w:styleId="19">
    <w:name w:val="2标题"/>
    <w:basedOn w:val="14"/>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20">
    <w:name w:val="3标题"/>
    <w:basedOn w:val="14"/>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21">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22">
    <w:name w:val="正文表格"/>
    <w:basedOn w:val="1"/>
    <w:qFormat/>
    <w:uiPriority w:val="0"/>
    <w:pPr>
      <w:snapToGrid w:val="0"/>
      <w:jc w:val="left"/>
    </w:pPr>
    <w:rPr>
      <w:rFonts w:hint="eastAsia" w:ascii="仿宋" w:hAnsi="仿宋" w:eastAsia="仿宋" w:cs="仿宋"/>
      <w:szCs w:val="21"/>
    </w:rPr>
  </w:style>
  <w:style w:type="paragraph" w:customStyle="1" w:styleId="23">
    <w:name w:val="样式1"/>
    <w:basedOn w:val="1"/>
    <w:next w:val="1"/>
    <w:qFormat/>
    <w:uiPriority w:val="0"/>
    <w:pPr>
      <w:keepNext/>
      <w:keepLines/>
      <w:ind w:firstLine="482"/>
      <w:outlineLvl w:val="2"/>
    </w:pPr>
    <w:rPr>
      <w:rFonts w:eastAsia="仿宋"/>
      <w:b/>
      <w:sz w:val="28"/>
    </w:rPr>
  </w:style>
  <w:style w:type="paragraph" w:customStyle="1" w:styleId="24">
    <w:name w:val="三（三）标题"/>
    <w:basedOn w:val="1"/>
    <w:next w:val="1"/>
    <w:qFormat/>
    <w:uiPriority w:val="0"/>
    <w:pPr>
      <w:keepNext/>
      <w:keepLines/>
      <w:ind w:firstLine="482"/>
      <w:outlineLvl w:val="2"/>
    </w:pPr>
    <w:rPr>
      <w:rFonts w:eastAsia="仿宋"/>
      <w:b/>
      <w:sz w:val="28"/>
    </w:rPr>
  </w:style>
  <w:style w:type="paragraph" w:customStyle="1" w:styleId="25">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6">
    <w:name w:val="表格1"/>
    <w:basedOn w:val="1"/>
    <w:qFormat/>
    <w:uiPriority w:val="0"/>
    <w:pPr>
      <w:keepNext/>
      <w:keepLines/>
      <w:outlineLvl w:val="2"/>
    </w:pPr>
    <w:rPr>
      <w:rFonts w:hint="eastAsia" w:ascii="黑体" w:hAnsi="黑体" w:eastAsia="黑体" w:cs="黑体"/>
      <w:b/>
      <w:bCs/>
      <w:sz w:val="32"/>
      <w:szCs w:val="32"/>
    </w:rPr>
  </w:style>
  <w:style w:type="paragraph" w:customStyle="1" w:styleId="27">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8">
    <w:name w:val="表正文"/>
    <w:basedOn w:val="1"/>
    <w:qFormat/>
    <w:uiPriority w:val="0"/>
    <w:pPr>
      <w:snapToGrid w:val="0"/>
      <w:jc w:val="left"/>
    </w:pPr>
    <w:rPr>
      <w:rFonts w:hint="eastAsia" w:ascii="仿宋" w:hAnsi="仿宋" w:eastAsia="宋体" w:cs="仿宋"/>
      <w:sz w:val="24"/>
      <w:szCs w:val="21"/>
    </w:rPr>
  </w:style>
  <w:style w:type="paragraph" w:customStyle="1" w:styleId="29">
    <w:name w:val="1.1.1"/>
    <w:basedOn w:val="8"/>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30">
    <w:name w:val="标题一"/>
    <w:basedOn w:val="1"/>
    <w:qFormat/>
    <w:uiPriority w:val="0"/>
    <w:pPr>
      <w:jc w:val="left"/>
      <w:outlineLvl w:val="0"/>
    </w:pPr>
    <w:rPr>
      <w:rFonts w:ascii="黑体" w:hAnsi="黑体" w:eastAsia="黑体" w:cs="黑体"/>
      <w:sz w:val="32"/>
      <w:szCs w:val="32"/>
    </w:rPr>
  </w:style>
  <w:style w:type="paragraph" w:styleId="31">
    <w:name w:val="List Paragraph"/>
    <w:basedOn w:val="1"/>
    <w:unhideWhenUsed/>
    <w:qFormat/>
    <w:uiPriority w:val="99"/>
    <w:pPr>
      <w:ind w:firstLine="420" w:firstLineChars="200"/>
    </w:pPr>
  </w:style>
  <w:style w:type="character" w:customStyle="1" w:styleId="32">
    <w:name w:val="页眉 字符"/>
    <w:basedOn w:val="16"/>
    <w:link w:val="10"/>
    <w:qFormat/>
    <w:uiPriority w:val="0"/>
    <w:rPr>
      <w:kern w:val="2"/>
      <w:sz w:val="18"/>
      <w:szCs w:val="18"/>
    </w:rPr>
  </w:style>
  <w:style w:type="character" w:customStyle="1" w:styleId="33">
    <w:name w:val="页脚 字符"/>
    <w:basedOn w:val="16"/>
    <w:link w:val="9"/>
    <w:qFormat/>
    <w:uiPriority w:val="0"/>
    <w:rPr>
      <w:kern w:val="2"/>
      <w:sz w:val="18"/>
      <w:szCs w:val="18"/>
    </w:rPr>
  </w:style>
  <w:style w:type="paragraph" w:customStyle="1" w:styleId="34">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35">
    <w:name w:val="标准文件_一级无标题"/>
    <w:basedOn w:val="36"/>
    <w:qFormat/>
    <w:uiPriority w:val="0"/>
    <w:pPr>
      <w:spacing w:before="0" w:beforeLines="0" w:after="0" w:afterLines="0"/>
      <w:outlineLvl w:val="9"/>
    </w:pPr>
    <w:rPr>
      <w:rFonts w:ascii="宋体" w:eastAsia="宋体"/>
    </w:rPr>
  </w:style>
  <w:style w:type="paragraph" w:customStyle="1" w:styleId="36">
    <w:name w:val="标准文件_一级条标题"/>
    <w:basedOn w:val="37"/>
    <w:next w:val="38"/>
    <w:qFormat/>
    <w:uiPriority w:val="0"/>
    <w:pPr>
      <w:numPr>
        <w:ilvl w:val="2"/>
      </w:numPr>
      <w:spacing w:before="50" w:beforeLines="50" w:after="50" w:afterLines="50"/>
      <w:outlineLvl w:val="1"/>
    </w:pPr>
  </w:style>
  <w:style w:type="paragraph" w:customStyle="1" w:styleId="37">
    <w:name w:val="标准文件_章标题"/>
    <w:next w:val="3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9">
    <w:name w:val="font41"/>
    <w:basedOn w:val="16"/>
    <w:qFormat/>
    <w:uiPriority w:val="0"/>
    <w:rPr>
      <w:rFonts w:hint="eastAsia" w:ascii="宋体" w:hAnsi="宋体" w:eastAsia="宋体" w:cs="宋体"/>
      <w:color w:val="FF0000"/>
      <w:sz w:val="22"/>
      <w:szCs w:val="22"/>
      <w:u w:val="none"/>
    </w:rPr>
  </w:style>
  <w:style w:type="character" w:customStyle="1" w:styleId="40">
    <w:name w:val="font31"/>
    <w:basedOn w:val="16"/>
    <w:qFormat/>
    <w:uiPriority w:val="0"/>
    <w:rPr>
      <w:rFonts w:hint="default" w:ascii="E-BZ" w:hAnsi="E-BZ" w:eastAsia="E-BZ" w:cs="E-BZ"/>
      <w:color w:val="000000"/>
      <w:sz w:val="19"/>
      <w:szCs w:val="19"/>
      <w:u w:val="none"/>
    </w:rPr>
  </w:style>
  <w:style w:type="character" w:customStyle="1" w:styleId="41">
    <w:name w:val="font21"/>
    <w:basedOn w:val="16"/>
    <w:qFormat/>
    <w:uiPriority w:val="0"/>
    <w:rPr>
      <w:rFonts w:hint="eastAsia" w:ascii="宋体" w:hAnsi="宋体" w:eastAsia="宋体" w:cs="宋体"/>
      <w:color w:val="000000"/>
      <w:sz w:val="19"/>
      <w:szCs w:val="19"/>
      <w:u w:val="none"/>
    </w:rPr>
  </w:style>
  <w:style w:type="character" w:customStyle="1" w:styleId="42">
    <w:name w:val="font51"/>
    <w:basedOn w:val="16"/>
    <w:qFormat/>
    <w:uiPriority w:val="0"/>
    <w:rPr>
      <w:rFonts w:ascii="FZSSK--GBK1-0" w:hAnsi="FZSSK--GBK1-0" w:eastAsia="FZSSK--GBK1-0" w:cs="FZSSK--GBK1-0"/>
      <w:color w:val="000000"/>
      <w:sz w:val="19"/>
      <w:szCs w:val="19"/>
      <w:u w:val="none"/>
    </w:rPr>
  </w:style>
  <w:style w:type="character" w:customStyle="1" w:styleId="43">
    <w:name w:val="font01"/>
    <w:basedOn w:val="1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7055</Words>
  <Characters>7428</Characters>
  <Lines>110</Lines>
  <Paragraphs>78</Paragraphs>
  <TotalTime>1</TotalTime>
  <ScaleCrop>false</ScaleCrop>
  <LinksUpToDate>false</LinksUpToDate>
  <CharactersWithSpaces>7551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王嵩</cp:lastModifiedBy>
  <dcterms:modified xsi:type="dcterms:W3CDTF">2026-09-01T06:48:08Z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CB8604AC6C7346EAA710CCE24C07ECCD_13</vt:lpwstr>
  </property>
  <property fmtid="{D5CDD505-2E9C-101B-9397-08002B2CF9AE}" pid="4" name="KSOTemplateDocerSaveRecord">
    <vt:lpwstr>eyJoZGlkIjoiNDYyNGFiOWVjNmUyNDJkMjQ4ZjU3YWM4YTY1MmJjYzMiLCJ1c2VySWQiOiIxNTgwMzA1OTc1In0=</vt:lpwstr>
  </property>
</Properties>
</file>